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df" ContentType="application/pdf"/>
  <Override PartName="/word/media/rId24.pdf" ContentType="application/pdf"/>
  <Override PartName="/word/media/rId2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Cs/>
          <w:b/>
        </w:rPr>
        <w:t xml:space="preserve">Urban</w:t>
      </w:r>
      <w:r>
        <w:rPr>
          <w:bCs/>
          <w:b/>
        </w:rPr>
        <w:t xml:space="preserve"> </w:t>
      </w:r>
      <w:r>
        <w:rPr>
          <w:bCs/>
          <w:b/>
        </w:rPr>
        <w:t xml:space="preserve">mobility</w:t>
      </w:r>
      <w:r>
        <w:rPr>
          <w:bCs/>
          <w:b/>
        </w:rPr>
        <w:t xml:space="preserve"> </w:t>
      </w:r>
      <w:r>
        <w:rPr>
          <w:bCs/>
          <w:b/>
        </w:rPr>
        <w:t xml:space="preserve">and</w:t>
      </w:r>
      <w:r>
        <w:rPr>
          <w:bCs/>
          <w:b/>
        </w:rPr>
        <w:t xml:space="preserve"> </w:t>
      </w:r>
      <w:r>
        <w:rPr>
          <w:bCs/>
          <w:b/>
        </w:rPr>
        <w:t xml:space="preserve">socioeconomic</w:t>
      </w:r>
      <w:r>
        <w:rPr>
          <w:bCs/>
          <w:b/>
        </w:rPr>
        <w:t xml:space="preserve"> </w:t>
      </w:r>
      <w:r>
        <w:rPr>
          <w:bCs/>
          <w:b/>
        </w:rPr>
        <w:t xml:space="preserve">deprivation</w:t>
      </w:r>
      <w:r>
        <w:rPr>
          <w:bCs/>
          <w:b/>
        </w:rPr>
        <w:t xml:space="preserve"> </w:t>
      </w:r>
      <w:r>
        <w:rPr>
          <w:bCs/>
          <w:b/>
        </w:rPr>
        <w:t xml:space="preserve">in</w:t>
      </w:r>
      <w:r>
        <w:rPr>
          <w:bCs/>
          <w:b/>
        </w:rPr>
        <w:t xml:space="preserve"> </w:t>
      </w:r>
      <w:r>
        <w:rPr>
          <w:bCs/>
          <w:b/>
        </w:rPr>
        <w:t xml:space="preserve">Latin</w:t>
      </w:r>
      <w:r>
        <w:rPr>
          <w:bCs/>
          <w:b/>
        </w:rPr>
        <w:t xml:space="preserve"> </w:t>
      </w:r>
      <w:r>
        <w:rPr>
          <w:bCs/>
          <w:b/>
        </w:rPr>
        <w:t xml:space="preserve">America</w:t>
      </w:r>
      <w:r>
        <w:rPr>
          <w:bCs/>
          <w:b/>
        </w:rPr>
        <w:t xml:space="preserve"> </w:t>
      </w:r>
      <w:r>
        <w:rPr>
          <w:bCs/>
          <w:b/>
        </w:rPr>
        <w:t xml:space="preserve">after</w:t>
      </w:r>
      <w:r>
        <w:rPr>
          <w:bCs/>
          <w:b/>
        </w:rPr>
        <w:t xml:space="preserve"> </w:t>
      </w:r>
      <w:r>
        <w:rPr>
          <w:bCs/>
          <w:b/>
        </w:rPr>
        <w:t xml:space="preserve">COVID-19</w:t>
      </w:r>
    </w:p>
    <w:p>
      <w:pPr>
        <w:pStyle w:val="Author"/>
      </w:pPr>
      <w:r>
        <w:t xml:space="preserve">Carmen</w:t>
      </w:r>
      <w:r>
        <w:t xml:space="preserve"> </w:t>
      </w:r>
      <w:r>
        <w:t xml:space="preserve">Cabrera-Arnau</w:t>
      </w:r>
    </w:p>
    <w:p>
      <w:pPr>
        <w:pStyle w:val="Author"/>
      </w:pPr>
      <w:r>
        <w:t xml:space="preserve">Francisco</w:t>
      </w:r>
      <w:r>
        <w:t xml:space="preserve"> </w:t>
      </w:r>
      <w:r>
        <w:t xml:space="preserve">Rowe</w:t>
      </w:r>
    </w:p>
    <w:p>
      <w:pPr>
        <w:pStyle w:val="Author"/>
      </w:pPr>
      <w:r>
        <w:t xml:space="preserve">Miguel</w:t>
      </w:r>
      <w:r>
        <w:t xml:space="preserve"> </w:t>
      </w:r>
      <w:r>
        <w:t xml:space="preserve">González-Leonardo</w:t>
      </w:r>
    </w:p>
    <w:p>
      <w:pPr>
        <w:pStyle w:val="Author"/>
      </w:pPr>
      <w:r>
        <w:t xml:space="preserve">Andrea</w:t>
      </w:r>
      <w:r>
        <w:t xml:space="preserve"> </w:t>
      </w:r>
      <w:r>
        <w:t xml:space="preserve">Nasuto</w:t>
      </w:r>
    </w:p>
    <w:p>
      <w:pPr>
        <w:pStyle w:val="Author"/>
      </w:pPr>
      <w:r>
        <w:t xml:space="preserve">Ruth</w:t>
      </w:r>
      <w:r>
        <w:t xml:space="preserve"> </w:t>
      </w:r>
      <w:r>
        <w:t xml:space="preserve">Neville</w:t>
      </w:r>
    </w:p>
    <w:p>
      <w:pPr>
        <w:pStyle w:val="AbstractTitle"/>
      </w:pPr>
      <w:r>
        <w:t xml:space="preserve">Abstract</w:t>
      </w:r>
    </w:p>
    <w:p>
      <w:pPr>
        <w:pStyle w:val="Abstract"/>
      </w:pPr>
      <w:r>
        <w:t xml:space="preserve">The</w:t>
      </w:r>
      <w:r>
        <w:t xml:space="preserve"> </w:t>
      </w:r>
      <w:r>
        <w:t xml:space="preserve">movement</w:t>
      </w:r>
      <w:r>
        <w:t xml:space="preserve"> </w:t>
      </w:r>
      <w:r>
        <w:t xml:space="preserve">of</w:t>
      </w:r>
      <w:r>
        <w:t xml:space="preserve"> </w:t>
      </w:r>
      <w:r>
        <w:t xml:space="preserve">people</w:t>
      </w:r>
      <w:r>
        <w:t xml:space="preserve"> </w:t>
      </w:r>
      <w:r>
        <w:t xml:space="preserve">between</w:t>
      </w:r>
      <w:r>
        <w:t xml:space="preserve"> </w:t>
      </w:r>
      <w:r>
        <w:t xml:space="preserve">locations</w:t>
      </w:r>
      <w:r>
        <w:t xml:space="preserve"> </w:t>
      </w:r>
      <w:r>
        <w:t xml:space="preserve">is</w:t>
      </w:r>
      <w:r>
        <w:t xml:space="preserve"> </w:t>
      </w:r>
      <w:r>
        <w:t xml:space="preserve">crucial</w:t>
      </w:r>
      <w:r>
        <w:t xml:space="preserve"> </w:t>
      </w:r>
      <w:r>
        <w:t xml:space="preserve">for</w:t>
      </w:r>
      <w:r>
        <w:t xml:space="preserve"> </w:t>
      </w:r>
      <w:r>
        <w:t xml:space="preserve">sustainable</w:t>
      </w:r>
      <w:r>
        <w:t xml:space="preserve"> </w:t>
      </w:r>
      <w:r>
        <w:t xml:space="preserve">and</w:t>
      </w:r>
      <w:r>
        <w:t xml:space="preserve"> </w:t>
      </w:r>
      <w:r>
        <w:t xml:space="preserve">inclusive</w:t>
      </w:r>
      <w:r>
        <w:t xml:space="preserve"> </w:t>
      </w:r>
      <w:r>
        <w:t xml:space="preserve">cities,</w:t>
      </w:r>
      <w:r>
        <w:t xml:space="preserve"> </w:t>
      </w:r>
      <w:r>
        <w:t xml:space="preserve">facilitating</w:t>
      </w:r>
      <w:r>
        <w:t xml:space="preserve"> </w:t>
      </w:r>
      <w:r>
        <w:t xml:space="preserve">the</w:t>
      </w:r>
      <w:r>
        <w:t xml:space="preserve"> </w:t>
      </w:r>
      <w:r>
        <w:t xml:space="preserve">exchange</w:t>
      </w:r>
      <w:r>
        <w:t xml:space="preserve"> </w:t>
      </w:r>
      <w:r>
        <w:t xml:space="preserve">of</w:t>
      </w:r>
      <w:r>
        <w:t xml:space="preserve"> </w:t>
      </w:r>
      <w:r>
        <w:t xml:space="preserve">knowledge</w:t>
      </w:r>
      <w:r>
        <w:t xml:space="preserve"> </w:t>
      </w:r>
      <w:r>
        <w:t xml:space="preserve">and</w:t>
      </w:r>
      <w:r>
        <w:t xml:space="preserve"> </w:t>
      </w:r>
      <w:r>
        <w:t xml:space="preserve">resources.</w:t>
      </w:r>
      <w:r>
        <w:t xml:space="preserve"> </w:t>
      </w:r>
      <w:r>
        <w:t xml:space="preserve">Due</w:t>
      </w:r>
      <w:r>
        <w:t xml:space="preserve"> </w:t>
      </w:r>
      <w:r>
        <w:t xml:space="preserve">to</w:t>
      </w:r>
      <w:r>
        <w:t xml:space="preserve"> </w:t>
      </w:r>
      <w:r>
        <w:t xml:space="preserve">restrictions,</w:t>
      </w:r>
      <w:r>
        <w:t xml:space="preserve"> </w:t>
      </w:r>
      <w:r>
        <w:t xml:space="preserve">lockdowns</w:t>
      </w:r>
      <w:r>
        <w:t xml:space="preserve"> </w:t>
      </w:r>
      <w:r>
        <w:t xml:space="preserve">and</w:t>
      </w:r>
      <w:r>
        <w:t xml:space="preserve"> </w:t>
      </w:r>
      <w:r>
        <w:t xml:space="preserve">fear</w:t>
      </w:r>
      <w:r>
        <w:t xml:space="preserve"> </w:t>
      </w:r>
      <w:r>
        <w:t xml:space="preserve">of</w:t>
      </w:r>
      <w:r>
        <w:t xml:space="preserve"> </w:t>
      </w:r>
      <w:r>
        <w:t xml:space="preserve">crowded</w:t>
      </w:r>
      <w:r>
        <w:t xml:space="preserve"> </w:t>
      </w:r>
      <w:r>
        <w:t xml:space="preserve">places,</w:t>
      </w:r>
      <w:r>
        <w:t xml:space="preserve"> </w:t>
      </w:r>
      <w:r>
        <w:t xml:space="preserve">the</w:t>
      </w:r>
      <w:r>
        <w:t xml:space="preserve"> </w:t>
      </w:r>
      <w:r>
        <w:t xml:space="preserve">COVID-19</w:t>
      </w:r>
      <w:r>
        <w:t xml:space="preserve"> </w:t>
      </w:r>
      <w:r>
        <w:t xml:space="preserve">pandemic</w:t>
      </w:r>
      <w:r>
        <w:t xml:space="preserve"> </w:t>
      </w:r>
      <w:r>
        <w:t xml:space="preserve">significantly</w:t>
      </w:r>
      <w:r>
        <w:t xml:space="preserve"> </w:t>
      </w:r>
      <w:r>
        <w:t xml:space="preserve">reduced</w:t>
      </w:r>
      <w:r>
        <w:t xml:space="preserve"> </w:t>
      </w:r>
      <w:r>
        <w:t xml:space="preserve">the</w:t>
      </w:r>
      <w:r>
        <w:t xml:space="preserve"> </w:t>
      </w:r>
      <w:r>
        <w:t xml:space="preserve">number</w:t>
      </w:r>
      <w:r>
        <w:t xml:space="preserve"> </w:t>
      </w:r>
      <w:r>
        <w:t xml:space="preserve">and</w:t>
      </w:r>
      <w:r>
        <w:t xml:space="preserve"> </w:t>
      </w:r>
      <w:r>
        <w:t xml:space="preserve">extent</w:t>
      </w:r>
      <w:r>
        <w:t xml:space="preserve"> </w:t>
      </w:r>
      <w:r>
        <w:t xml:space="preserve">of</w:t>
      </w:r>
      <w:r>
        <w:t xml:space="preserve"> </w:t>
      </w:r>
      <w:r>
        <w:t xml:space="preserve">people’s</w:t>
      </w:r>
      <w:r>
        <w:t xml:space="preserve"> </w:t>
      </w:r>
      <w:r>
        <w:t xml:space="preserve">movements.</w:t>
      </w:r>
      <w:r>
        <w:t xml:space="preserve"> </w:t>
      </w:r>
      <w:r>
        <w:t xml:space="preserve">Existing</w:t>
      </w:r>
      <w:r>
        <w:t xml:space="preserve"> </w:t>
      </w:r>
      <w:r>
        <w:t xml:space="preserve">research</w:t>
      </w:r>
      <w:r>
        <w:t xml:space="preserve"> </w:t>
      </w:r>
      <w:r>
        <w:t xml:space="preserve">suggests</w:t>
      </w:r>
      <w:r>
        <w:t xml:space="preserve"> </w:t>
      </w:r>
      <w:r>
        <w:t xml:space="preserve">that</w:t>
      </w:r>
      <w:r>
        <w:t xml:space="preserve"> </w:t>
      </w:r>
      <w:r>
        <w:t xml:space="preserve">the</w:t>
      </w:r>
      <w:r>
        <w:t xml:space="preserve"> </w:t>
      </w:r>
      <w:r>
        <w:t xml:space="preserve">impact</w:t>
      </w:r>
      <w:r>
        <w:t xml:space="preserve"> </w:t>
      </w:r>
      <w:r>
        <w:t xml:space="preserve">of</w:t>
      </w:r>
      <w:r>
        <w:t xml:space="preserve"> </w:t>
      </w:r>
      <w:r>
        <w:t xml:space="preserve">the</w:t>
      </w:r>
      <w:r>
        <w:t xml:space="preserve"> </w:t>
      </w:r>
      <w:r>
        <w:t xml:space="preserve">pandemic</w:t>
      </w:r>
      <w:r>
        <w:t xml:space="preserve"> </w:t>
      </w:r>
      <w:r>
        <w:t xml:space="preserve">on</w:t>
      </w:r>
      <w:r>
        <w:t xml:space="preserve"> </w:t>
      </w:r>
      <w:r>
        <w:t xml:space="preserve">mobility</w:t>
      </w:r>
      <w:r>
        <w:t xml:space="preserve"> </w:t>
      </w:r>
      <w:r>
        <w:t xml:space="preserve">was</w:t>
      </w:r>
      <w:r>
        <w:t xml:space="preserve"> </w:t>
      </w:r>
      <w:r>
        <w:t xml:space="preserve">unequal</w:t>
      </w:r>
      <w:r>
        <w:t xml:space="preserve"> </w:t>
      </w:r>
      <w:r>
        <w:t xml:space="preserve">across</w:t>
      </w:r>
      <w:r>
        <w:t xml:space="preserve"> </w:t>
      </w:r>
      <w:r>
        <w:t xml:space="preserve">locations</w:t>
      </w:r>
      <w:r>
        <w:t xml:space="preserve"> </w:t>
      </w:r>
      <w:r>
        <w:t xml:space="preserve">and</w:t>
      </w:r>
      <w:r>
        <w:t xml:space="preserve"> </w:t>
      </w:r>
      <w:r>
        <w:t xml:space="preserve">socioeconomic</w:t>
      </w:r>
      <w:r>
        <w:t xml:space="preserve"> </w:t>
      </w:r>
      <w:r>
        <w:t xml:space="preserve">groups.</w:t>
      </w:r>
      <w:r>
        <w:t xml:space="preserve"> </w:t>
      </w:r>
      <w:r>
        <w:t xml:space="preserve">However,</w:t>
      </w:r>
      <w:r>
        <w:t xml:space="preserve"> </w:t>
      </w:r>
      <w:r>
        <w:t xml:space="preserve">evidence</w:t>
      </w:r>
      <w:r>
        <w:t xml:space="preserve"> </w:t>
      </w:r>
      <w:r>
        <w:t xml:space="preserve">and</w:t>
      </w:r>
      <w:r>
        <w:t xml:space="preserve"> </w:t>
      </w:r>
      <w:r>
        <w:t xml:space="preserve">analysis</w:t>
      </w:r>
      <w:r>
        <w:t xml:space="preserve"> </w:t>
      </w:r>
      <w:r>
        <w:t xml:space="preserve">of</w:t>
      </w:r>
      <w:r>
        <w:t xml:space="preserve"> </w:t>
      </w:r>
      <w:r>
        <w:t xml:space="preserve">long-term</w:t>
      </w:r>
      <w:r>
        <w:t xml:space="preserve"> </w:t>
      </w:r>
      <w:r>
        <w:t xml:space="preserve">changes</w:t>
      </w:r>
      <w:r>
        <w:t xml:space="preserve"> </w:t>
      </w:r>
      <w:r>
        <w:t xml:space="preserve">in</w:t>
      </w:r>
      <w:r>
        <w:t xml:space="preserve"> </w:t>
      </w:r>
      <w:r>
        <w:t xml:space="preserve">mobility</w:t>
      </w:r>
      <w:r>
        <w:t xml:space="preserve"> </w:t>
      </w:r>
      <w:r>
        <w:t xml:space="preserve">is</w:t>
      </w:r>
      <w:r>
        <w:t xml:space="preserve"> </w:t>
      </w:r>
      <w:r>
        <w:t xml:space="preserve">scarce,</w:t>
      </w:r>
      <w:r>
        <w:t xml:space="preserve"> </w:t>
      </w:r>
      <w:r>
        <w:t xml:space="preserve">especially</w:t>
      </w:r>
      <w:r>
        <w:t xml:space="preserve"> </w:t>
      </w:r>
      <w:r>
        <w:t xml:space="preserve">in</w:t>
      </w:r>
      <w:r>
        <w:t xml:space="preserve"> </w:t>
      </w:r>
      <w:r>
        <w:t xml:space="preserve">less</w:t>
      </w:r>
      <w:r>
        <w:t xml:space="preserve"> </w:t>
      </w:r>
      <w:r>
        <w:t xml:space="preserve">developed</w:t>
      </w:r>
      <w:r>
        <w:t xml:space="preserve"> </w:t>
      </w:r>
      <w:r>
        <w:t xml:space="preserve">countries.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use</w:t>
      </w:r>
      <w:r>
        <w:t xml:space="preserve"> </w:t>
      </w:r>
      <w:r>
        <w:t xml:space="preserve">location</w:t>
      </w:r>
      <w:r>
        <w:t xml:space="preserve"> </w:t>
      </w:r>
      <w:r>
        <w:t xml:space="preserve">data</w:t>
      </w:r>
      <w:r>
        <w:t xml:space="preserve"> </w:t>
      </w:r>
      <w:r>
        <w:t xml:space="preserve">from</w:t>
      </w:r>
      <w:r>
        <w:t xml:space="preserve"> </w:t>
      </w:r>
      <w:r>
        <w:t xml:space="preserve">Meta-Facebook</w:t>
      </w:r>
      <w:r>
        <w:t xml:space="preserve"> </w:t>
      </w:r>
      <w:r>
        <w:t xml:space="preserve">users</w:t>
      </w:r>
      <w:r>
        <w:t xml:space="preserve"> </w:t>
      </w:r>
      <w:r>
        <w:t xml:space="preserve">to</w:t>
      </w:r>
      <w:r>
        <w:t xml:space="preserve"> </w:t>
      </w:r>
      <w:r>
        <w:t xml:space="preserve">analyse</w:t>
      </w:r>
      <w:r>
        <w:t xml:space="preserve"> </w:t>
      </w:r>
      <w:r>
        <w:t xml:space="preserve">patterns</w:t>
      </w:r>
      <w:r>
        <w:t xml:space="preserve"> </w:t>
      </w:r>
      <w:r>
        <w:t xml:space="preserve">of</w:t>
      </w:r>
      <w:r>
        <w:t xml:space="preserve"> </w:t>
      </w:r>
      <w:r>
        <w:t xml:space="preserve">urban</w:t>
      </w:r>
      <w:r>
        <w:t xml:space="preserve"> </w:t>
      </w:r>
      <w:r>
        <w:t xml:space="preserve">mobility</w:t>
      </w:r>
      <w:r>
        <w:t xml:space="preserve"> </w:t>
      </w:r>
      <w:r>
        <w:t xml:space="preserve">in</w:t>
      </w:r>
      <w:r>
        <w:t xml:space="preserve"> </w:t>
      </w:r>
      <w:r>
        <w:t xml:space="preserve">X</w:t>
      </w:r>
      <w:r>
        <w:t xml:space="preserve"> </w:t>
      </w:r>
      <w:r>
        <w:t xml:space="preserve">Functional</w:t>
      </w:r>
      <w:r>
        <w:t xml:space="preserve"> </w:t>
      </w:r>
      <w:r>
        <w:t xml:space="preserve">Urban</w:t>
      </w:r>
      <w:r>
        <w:t xml:space="preserve"> </w:t>
      </w:r>
      <w:r>
        <w:t xml:space="preserve">Areas</w:t>
      </w:r>
      <w:r>
        <w:t xml:space="preserve"> </w:t>
      </w:r>
      <w:r>
        <w:t xml:space="preserve">from</w:t>
      </w:r>
      <w:r>
        <w:t xml:space="preserve"> </w:t>
      </w:r>
      <w:r>
        <w:t xml:space="preserve">South</w:t>
      </w:r>
      <w:r>
        <w:t xml:space="preserve"> </w:t>
      </w:r>
      <w:r>
        <w:t xml:space="preserve">American</w:t>
      </w:r>
      <w:r>
        <w:t xml:space="preserve"> </w:t>
      </w:r>
      <w:r>
        <w:t xml:space="preserve">countries.</w:t>
      </w:r>
      <w:r>
        <w:t xml:space="preserve"> </w:t>
      </w:r>
      <w:r>
        <w:t xml:space="preserve">Findings</w:t>
      </w:r>
      <w:r>
        <w:t xml:space="preserve"> </w:t>
      </w:r>
      <w:r>
        <w:t xml:space="preserve">reveal</w:t>
      </w:r>
      <w:r>
        <w:t xml:space="preserve"> </w:t>
      </w:r>
      <w:r>
        <w:t xml:space="preserve">a</w:t>
      </w:r>
      <w:r>
        <w:t xml:space="preserve"> </w:t>
      </w:r>
      <w:r>
        <w:t xml:space="preserve">general</w:t>
      </w:r>
      <w:r>
        <w:t xml:space="preserve"> </w:t>
      </w:r>
      <w:r>
        <w:t xml:space="preserve">decrease</w:t>
      </w:r>
      <w:r>
        <w:t xml:space="preserve"> </w:t>
      </w:r>
      <w:r>
        <w:t xml:space="preserve">in</w:t>
      </w:r>
      <w:r>
        <w:t xml:space="preserve"> </w:t>
      </w:r>
      <w:r>
        <w:t xml:space="preserve">mobility</w:t>
      </w:r>
      <w:r>
        <w:t xml:space="preserve"> </w:t>
      </w:r>
      <w:r>
        <w:t xml:space="preserve">during</w:t>
      </w:r>
      <w:r>
        <w:t xml:space="preserve"> </w:t>
      </w:r>
      <w:r>
        <w:t xml:space="preserve">the</w:t>
      </w:r>
      <w:r>
        <w:t xml:space="preserve"> </w:t>
      </w:r>
      <w:r>
        <w:t xml:space="preserve">pandemic,</w:t>
      </w:r>
      <w:r>
        <w:t xml:space="preserve"> </w:t>
      </w:r>
      <w:r>
        <w:t xml:space="preserve">with</w:t>
      </w:r>
      <w:r>
        <w:t xml:space="preserve"> </w:t>
      </w:r>
      <w:r>
        <w:t xml:space="preserve">gradual</w:t>
      </w:r>
      <w:r>
        <w:t xml:space="preserve"> </w:t>
      </w:r>
      <w:r>
        <w:t xml:space="preserve">recovery</w:t>
      </w:r>
      <w:r>
        <w:t xml:space="preserve"> </w:t>
      </w:r>
      <w:r>
        <w:t xml:space="preserve">trends</w:t>
      </w:r>
      <w:r>
        <w:t xml:space="preserve"> </w:t>
      </w:r>
      <w:r>
        <w:t xml:space="preserve">up</w:t>
      </w:r>
      <w:r>
        <w:t xml:space="preserve"> </w:t>
      </w:r>
      <w:r>
        <w:t xml:space="preserve">to</w:t>
      </w:r>
      <w:r>
        <w:t xml:space="preserve"> </w:t>
      </w:r>
      <w:r>
        <w:t xml:space="preserve">April</w:t>
      </w:r>
      <w:r>
        <w:t xml:space="preserve"> </w:t>
      </w:r>
      <w:r>
        <w:t xml:space="preserve">2023.</w:t>
      </w:r>
      <w:r>
        <w:t xml:space="preserve"> </w:t>
      </w:r>
      <w:r>
        <w:t xml:space="preserve">However,</w:t>
      </w:r>
      <w:r>
        <w:t xml:space="preserve"> </w:t>
      </w:r>
      <w:r>
        <w:t xml:space="preserve">socioeconomic</w:t>
      </w:r>
      <w:r>
        <w:t xml:space="preserve"> </w:t>
      </w:r>
      <w:r>
        <w:t xml:space="preserve">disparities</w:t>
      </w:r>
      <w:r>
        <w:t xml:space="preserve"> </w:t>
      </w:r>
      <w:r>
        <w:t xml:space="preserve">are</w:t>
      </w:r>
      <w:r>
        <w:t xml:space="preserve"> </w:t>
      </w:r>
      <w:r>
        <w:t xml:space="preserve">present</w:t>
      </w:r>
      <w:r>
        <w:t xml:space="preserve"> </w:t>
      </w:r>
      <w:r>
        <w:t xml:space="preserve">through</w:t>
      </w:r>
      <w:r>
        <w:t xml:space="preserve"> </w:t>
      </w:r>
      <w:r>
        <w:t xml:space="preserve">the</w:t>
      </w:r>
      <w:r>
        <w:t xml:space="preserve"> </w:t>
      </w:r>
      <w:r>
        <w:t xml:space="preserve">period</w:t>
      </w:r>
      <w:r>
        <w:t xml:space="preserve"> </w:t>
      </w:r>
      <w:r>
        <w:t xml:space="preserve">of</w:t>
      </w:r>
      <w:r>
        <w:t xml:space="preserve"> </w:t>
      </w:r>
      <w:r>
        <w:t xml:space="preserve">analysis,</w:t>
      </w:r>
      <w:r>
        <w:t xml:space="preserve"> </w:t>
      </w:r>
      <w:r>
        <w:t xml:space="preserve">with</w:t>
      </w:r>
      <w:r>
        <w:t xml:space="preserve"> </w:t>
      </w:r>
      <w:r>
        <w:t xml:space="preserve">deprived</w:t>
      </w:r>
      <w:r>
        <w:t xml:space="preserve"> </w:t>
      </w:r>
      <w:r>
        <w:t xml:space="preserve">areas</w:t>
      </w:r>
      <w:r>
        <w:t xml:space="preserve"> </w:t>
      </w:r>
      <w:r>
        <w:t xml:space="preserve">experiencing</w:t>
      </w:r>
      <w:r>
        <w:t xml:space="preserve"> </w:t>
      </w:r>
      <w:r>
        <w:t xml:space="preserve">smaller</w:t>
      </w:r>
      <w:r>
        <w:t xml:space="preserve"> </w:t>
      </w:r>
      <w:r>
        <w:t xml:space="preserve">initial</w:t>
      </w:r>
      <w:r>
        <w:t xml:space="preserve"> </w:t>
      </w:r>
      <w:r>
        <w:t xml:space="preserve">losses</w:t>
      </w:r>
      <w:r>
        <w:t xml:space="preserve"> </w:t>
      </w:r>
      <w:r>
        <w:t xml:space="preserve">in</w:t>
      </w:r>
      <w:r>
        <w:t xml:space="preserve"> </w:t>
      </w:r>
      <w:r>
        <w:t xml:space="preserve">mobility.</w:t>
      </w:r>
      <w:r>
        <w:t xml:space="preserve"> </w:t>
      </w:r>
      <w:r>
        <w:t xml:space="preserve">These</w:t>
      </w:r>
      <w:r>
        <w:t xml:space="preserve"> </w:t>
      </w:r>
      <w:r>
        <w:t xml:space="preserve">disparities</w:t>
      </w:r>
      <w:r>
        <w:t xml:space="preserve"> </w:t>
      </w:r>
      <w:r>
        <w:t xml:space="preserve">generally</w:t>
      </w:r>
      <w:r>
        <w:t xml:space="preserve"> </w:t>
      </w:r>
      <w:r>
        <w:t xml:space="preserve">diminish</w:t>
      </w:r>
      <w:r>
        <w:t xml:space="preserve"> </w:t>
      </w:r>
      <w:r>
        <w:t xml:space="preserve">over</w:t>
      </w:r>
      <w:r>
        <w:t xml:space="preserve"> </w:t>
      </w:r>
      <w:r>
        <w:t xml:space="preserve">time,</w:t>
      </w:r>
      <w:r>
        <w:t xml:space="preserve"> </w:t>
      </w:r>
      <w:r>
        <w:t xml:space="preserve">although</w:t>
      </w:r>
      <w:r>
        <w:t xml:space="preserve"> </w:t>
      </w:r>
      <w:r>
        <w:t xml:space="preserve">they</w:t>
      </w:r>
      <w:r>
        <w:t xml:space="preserve"> </w:t>
      </w:r>
      <w:r>
        <w:t xml:space="preserve">persist</w:t>
      </w:r>
      <w:r>
        <w:t xml:space="preserve"> </w:t>
      </w:r>
      <w:r>
        <w:t xml:space="preserve">in</w:t>
      </w:r>
      <w:r>
        <w:t xml:space="preserve"> </w:t>
      </w:r>
      <w:r>
        <w:t xml:space="preserve">all</w:t>
      </w:r>
      <w:r>
        <w:t xml:space="preserve"> </w:t>
      </w:r>
      <w:r>
        <w:t xml:space="preserve">the</w:t>
      </w:r>
      <w:r>
        <w:t xml:space="preserve"> </w:t>
      </w:r>
      <w:r>
        <w:t xml:space="preserve">countries</w:t>
      </w:r>
      <w:r>
        <w:t xml:space="preserve"> </w:t>
      </w:r>
      <w:r>
        <w:t xml:space="preserve">included</w:t>
      </w:r>
      <w:r>
        <w:t xml:space="preserve"> </w:t>
      </w:r>
      <w:r>
        <w:t xml:space="preserve">in</w:t>
      </w:r>
      <w:r>
        <w:t xml:space="preserve"> </w:t>
      </w:r>
      <w:r>
        <w:t xml:space="preserve">the</w:t>
      </w:r>
      <w:r>
        <w:t xml:space="preserve"> </w:t>
      </w:r>
      <w:r>
        <w:t xml:space="preserve">analysis</w:t>
      </w:r>
      <w:r>
        <w:t xml:space="preserve"> </w:t>
      </w:r>
      <w:r>
        <w:t xml:space="preserve">.</w:t>
      </w:r>
      <w:r>
        <w:t xml:space="preserve"> </w:t>
      </w:r>
      <w:r>
        <w:t xml:space="preserve">Our</w:t>
      </w:r>
      <w:r>
        <w:t xml:space="preserve"> </w:t>
      </w:r>
      <w:r>
        <w:t xml:space="preserve">research</w:t>
      </w:r>
      <w:r>
        <w:t xml:space="preserve"> </w:t>
      </w:r>
      <w:r>
        <w:t xml:space="preserve">highlights</w:t>
      </w:r>
      <w:r>
        <w:t xml:space="preserve"> </w:t>
      </w:r>
      <w:r>
        <w:t xml:space="preserve">the</w:t>
      </w:r>
      <w:r>
        <w:t xml:space="preserve"> </w:t>
      </w:r>
      <w:r>
        <w:t xml:space="preserve">importance</w:t>
      </w:r>
      <w:r>
        <w:t xml:space="preserve"> </w:t>
      </w:r>
      <w:r>
        <w:t xml:space="preserve">of</w:t>
      </w:r>
      <w:r>
        <w:t xml:space="preserve"> </w:t>
      </w:r>
      <w:r>
        <w:t xml:space="preserve">timely</w:t>
      </w:r>
      <w:r>
        <w:t xml:space="preserve"> </w:t>
      </w:r>
      <w:r>
        <w:t xml:space="preserve">mobility</w:t>
      </w:r>
      <w:r>
        <w:t xml:space="preserve"> </w:t>
      </w:r>
      <w:r>
        <w:t xml:space="preserve">data</w:t>
      </w:r>
      <w:r>
        <w:t xml:space="preserve"> </w:t>
      </w:r>
      <w:r>
        <w:t xml:space="preserve">with</w:t>
      </w:r>
      <w:r>
        <w:t xml:space="preserve"> </w:t>
      </w:r>
      <w:r>
        <w:t xml:space="preserve">high</w:t>
      </w:r>
      <w:r>
        <w:t xml:space="preserve"> </w:t>
      </w:r>
      <w:r>
        <w:t xml:space="preserve">spatiotemporal</w:t>
      </w:r>
      <w:r>
        <w:t xml:space="preserve"> </w:t>
      </w:r>
      <w:r>
        <w:t xml:space="preserve">resolution</w:t>
      </w:r>
      <w:r>
        <w:t xml:space="preserve"> </w:t>
      </w:r>
      <w:r>
        <w:t xml:space="preserve">to</w:t>
      </w:r>
      <w:r>
        <w:t xml:space="preserve"> </w:t>
      </w:r>
      <w:r>
        <w:t xml:space="preserve">understand</w:t>
      </w:r>
      <w:r>
        <w:t xml:space="preserve"> </w:t>
      </w:r>
      <w:r>
        <w:t xml:space="preserve">the</w:t>
      </w:r>
      <w:r>
        <w:t xml:space="preserve"> </w:t>
      </w:r>
      <w:r>
        <w:t xml:space="preserve">long-term</w:t>
      </w:r>
      <w:r>
        <w:t xml:space="preserve"> </w:t>
      </w:r>
      <w:r>
        <w:t xml:space="preserve">effects</w:t>
      </w:r>
      <w:r>
        <w:t xml:space="preserve"> </w:t>
      </w:r>
      <w:r>
        <w:t xml:space="preserve">of</w:t>
      </w:r>
      <w:r>
        <w:t xml:space="preserve"> </w:t>
      </w:r>
      <w:r>
        <w:t xml:space="preserve">the</w:t>
      </w:r>
      <w:r>
        <w:t xml:space="preserve"> </w:t>
      </w:r>
      <w:r>
        <w:t xml:space="preserve">pandemic</w:t>
      </w:r>
      <w:r>
        <w:t xml:space="preserve"> </w:t>
      </w:r>
      <w:r>
        <w:t xml:space="preserve">and</w:t>
      </w:r>
      <w:r>
        <w:t xml:space="preserve"> </w:t>
      </w:r>
      <w:r>
        <w:t xml:space="preserve">inform</w:t>
      </w:r>
      <w:r>
        <w:t xml:space="preserve"> </w:t>
      </w:r>
      <w:r>
        <w:t xml:space="preserve">equitable</w:t>
      </w:r>
      <w:r>
        <w:t xml:space="preserve"> </w:t>
      </w:r>
      <w:r>
        <w:t xml:space="preserve">policy</w:t>
      </w:r>
      <w:r>
        <w:t xml:space="preserve"> </w:t>
      </w:r>
      <w:r>
        <w:t xml:space="preserve">responses</w:t>
      </w:r>
      <w:r>
        <w:t xml:space="preserve"> </w:t>
      </w:r>
      <w:r>
        <w:t xml:space="preserve">that</w:t>
      </w:r>
      <w:r>
        <w:t xml:space="preserve"> </w:t>
      </w:r>
      <w:r>
        <w:t xml:space="preserve">address</w:t>
      </w:r>
      <w:r>
        <w:t xml:space="preserve"> </w:t>
      </w:r>
      <w:r>
        <w:t xml:space="preserve">societal</w:t>
      </w:r>
      <w:r>
        <w:t xml:space="preserve"> </w:t>
      </w:r>
      <w:r>
        <w:t xml:space="preserve">challenges</w:t>
      </w:r>
      <w:r>
        <w:t xml:space="preserve"> </w:t>
      </w:r>
      <w:r>
        <w:t xml:space="preserve">in</w:t>
      </w:r>
      <w:r>
        <w:t xml:space="preserve"> </w:t>
      </w:r>
      <w:r>
        <w:t xml:space="preserve">urban</w:t>
      </w:r>
      <w:r>
        <w:t xml:space="preserve"> </w:t>
      </w:r>
      <w:r>
        <w:t xml:space="preserve">areas.</w:t>
      </w:r>
    </w:p>
    <w:p>
      <w:pPr>
        <w:pStyle w:val="FirstParagraph"/>
      </w:pPr>
      <w:r>
        <w:br/>
      </w:r>
    </w:p>
    <w:bookmarkStart w:id="20" w:name="sec-intro"/>
    <w:p>
      <w:pPr>
        <w:pStyle w:val="Heading1"/>
      </w:pPr>
      <w:r>
        <w:t xml:space="preserve">1. Introduction</w:t>
      </w:r>
    </w:p>
    <w:p>
      <w:pPr>
        <w:pStyle w:val="FirstParagraph"/>
      </w:pPr>
      <w:r>
        <w:t xml:space="preserve">Spatial human mobility is key to creating sustainable, livable and inclusive cities.</w:t>
      </w:r>
      <w:r>
        <w:t xml:space="preserve"> </w:t>
      </w:r>
      <w:r>
        <w:t xml:space="preserve">At the societal level, spatial mobility enables the transfer of knowledge, skills and labour to places they are needed</w:t>
      </w:r>
      <w:r>
        <w:rPr>
          <w:vertAlign w:val="superscript"/>
        </w:rPr>
        <w:t xml:space="preserve">1</w:t>
      </w:r>
      <w:r>
        <w:t xml:space="preserve">.</w:t>
      </w:r>
      <w:r>
        <w:t xml:space="preserve"> </w:t>
      </w:r>
      <w:r>
        <w:t xml:space="preserve">Spatial mobility also shapes service and transport demand across urban spaces</w:t>
      </w:r>
      <w:r>
        <w:rPr>
          <w:vertAlign w:val="superscript"/>
        </w:rPr>
        <w:t xml:space="preserve">2</w:t>
      </w:r>
      <w:r>
        <w:t xml:space="preserve">, and enables the monitoring and control of transmissible diseases</w:t>
      </w:r>
      <w:r>
        <w:rPr>
          <w:vertAlign w:val="superscript"/>
        </w:rPr>
        <w:t xml:space="preserve">3</w:t>
      </w:r>
      <w:r>
        <w:t xml:space="preserve">.</w:t>
      </w:r>
      <w:r>
        <w:t xml:space="preserve"> </w:t>
      </w:r>
      <w:r>
        <w:t xml:space="preserve">At the individual level, mobility enables people to access and achieve opportunities and aspirations in space</w:t>
      </w:r>
      <w:r>
        <w:rPr>
          <w:vertAlign w:val="superscript"/>
        </w:rPr>
        <w:t xml:space="preserve">4</w:t>
      </w:r>
      <w:r>
        <w:t xml:space="preserve">.</w:t>
      </w:r>
      <w:r>
        <w:t xml:space="preserve"> </w:t>
      </w:r>
      <w:r>
        <w:t xml:space="preserve">Understanding spatial human mobility is thus important to supporting appropriate policy responses to address societal challenges relating to carbon emissions, urban planning, service delivery, public health, disaster management and transport</w:t>
      </w:r>
      <w:r>
        <w:rPr>
          <w:vertAlign w:val="superscript"/>
        </w:rPr>
        <w:t xml:space="preserve">5,6</w:t>
      </w:r>
      <w:r>
        <w:t xml:space="preserve">.</w:t>
      </w:r>
    </w:p>
    <w:p>
      <w:pPr>
        <w:pStyle w:val="BodyText"/>
      </w:pPr>
      <w:r>
        <w:t xml:space="preserve">The COVID-19 pandemic resulted in a notable decrease in mobility, particularly in cities</w:t>
      </w:r>
      <w:r>
        <w:rPr>
          <w:vertAlign w:val="superscript"/>
        </w:rPr>
        <w:t xml:space="preserve">7</w:t>
      </w:r>
      <w:r>
        <w:t xml:space="preserve">.</w:t>
      </w:r>
      <w:r>
        <w:t xml:space="preserve"> </w:t>
      </w:r>
      <w:r>
        <w:t xml:space="preserve">Coupled with fears of contagion in crowded public spaces, nonpharmaceutical interventions to contain the spread of COVID‐19 prompted this decrease in the overall levels of mobility</w:t>
      </w:r>
      <w:r>
        <w:rPr>
          <w:vertAlign w:val="superscript"/>
        </w:rPr>
        <w:t xml:space="preserve">7,8</w:t>
      </w:r>
      <w:r>
        <w:t xml:space="preserve">.</w:t>
      </w:r>
      <w:r>
        <w:t xml:space="preserve"> </w:t>
      </w:r>
      <w:r>
        <w:t xml:space="preserve">Especially during lockdowns, mobility recorded reductions in the frequency, distance and time of trips in cities across the globe</w:t>
      </w:r>
      <w:r>
        <w:rPr>
          <w:vertAlign w:val="superscript"/>
        </w:rPr>
        <w:t xml:space="preserve">9–12</w:t>
      </w:r>
      <w:r>
        <w:t xml:space="preserve">.</w:t>
      </w:r>
      <w:r>
        <w:t xml:space="preserve"> </w:t>
      </w:r>
      <w:r>
        <w:t xml:space="preserve">Higher engagement with remote working, online schooling and shopping activity reduced the need to travel for work, education, shopping and leisure, hence giving rise to more geographically localised mobility patterns</w:t>
      </w:r>
      <w:r>
        <w:rPr>
          <w:vertAlign w:val="superscript"/>
        </w:rPr>
        <w:t xml:space="preserve">13</w:t>
      </w:r>
      <w:r>
        <w:t xml:space="preserve">.</w:t>
      </w:r>
    </w:p>
    <w:p>
      <w:pPr>
        <w:pStyle w:val="BodyText"/>
      </w:pPr>
      <w:r>
        <w:t xml:space="preserve">However, reductions in mobility levels were highly unequal reflecting existing socioeconomic inequalities in our societies</w:t>
      </w:r>
      <w:r>
        <w:rPr>
          <w:vertAlign w:val="superscript"/>
        </w:rPr>
        <w:t xml:space="preserve">14</w:t>
      </w:r>
      <w:r>
        <w:t xml:space="preserve">.</w:t>
      </w:r>
      <w:r>
        <w:t xml:space="preserve"> </w:t>
      </w:r>
      <w:r>
        <w:t xml:space="preserve">In most countries, affluent individuals tended to record the greatest drops in mobility levels as they are predominantly employed in knowledge-intensive jobs which can be done fully or partly remotely</w:t>
      </w:r>
      <w:r>
        <w:rPr>
          <w:vertAlign w:val="superscript"/>
        </w:rPr>
        <w:t xml:space="preserve">10,15–18</w:t>
      </w:r>
      <w:r>
        <w:t xml:space="preserve">.</w:t>
      </w:r>
      <w:r>
        <w:t xml:space="preserve"> </w:t>
      </w:r>
      <w:r>
        <w:t xml:space="preserve">During the COVID-19 pandemic, the adoption of remote work reduced the need of commuting for knowledge-intensive, non-public facing jobs</w:t>
      </w:r>
      <w:r>
        <w:rPr>
          <w:vertAlign w:val="superscript"/>
        </w:rPr>
        <w:t xml:space="preserve">19</w:t>
      </w:r>
      <w:r>
        <w:t xml:space="preserve">.</w:t>
      </w:r>
      <w:r>
        <w:t xml:space="preserve"> </w:t>
      </w:r>
      <w:r>
        <w:t xml:space="preserve">At the same time, individuals from less privileged socioeconomic backgrounds displayed less pronounced declines mirroring the nature of their work requiring public-facing, face-to-face interaction, and thus a requirement for daily work commutes</w:t>
      </w:r>
      <w:r>
        <w:rPr>
          <w:vertAlign w:val="superscript"/>
        </w:rPr>
        <w:t xml:space="preserve">17,18</w:t>
      </w:r>
      <w:r>
        <w:t xml:space="preserve">.</w:t>
      </w:r>
    </w:p>
    <w:p>
      <w:pPr>
        <w:pStyle w:val="BodyText"/>
      </w:pPr>
      <w:r>
        <w:t xml:space="preserve">Thus, while a growing body of empirical evidence has contributed to advancing our understanding of the impacts of the COVID-19 pandemic on spatial mobility within cities, existing research has focused on more developed countries and the immediate effects of the pandemic during 2020.</w:t>
      </w:r>
      <w:r>
        <w:t xml:space="preserve"> </w:t>
      </w:r>
      <w:r>
        <w:t xml:space="preserve">Less is known about the longer term patterns of resilience in urban mobility in less developed countries extending beyond this period</w:t>
      </w:r>
      <w:r>
        <w:rPr>
          <w:vertAlign w:val="superscript"/>
        </w:rPr>
        <w:t xml:space="preserve">20</w:t>
      </w:r>
      <w:r>
        <w:t xml:space="preserve">.</w:t>
      </w:r>
      <w:r>
        <w:t xml:space="preserve"> </w:t>
      </w:r>
      <w:r>
        <w:t xml:space="preserve">Urban spaces have changed considerably since then, from going through waves of high COVID-19 fatality, infections, school and business closures to the removal of all COVID-19 restrictions as the UN World Health Organization (WHO) declared an end to the pandemic as a public health emergency; yet, different configurations of hybrid working have remained in the norm across many sector of the economy</w:t>
      </w:r>
      <w:r>
        <w:rPr>
          <w:vertAlign w:val="superscript"/>
        </w:rPr>
        <w:t xml:space="preserve">21,22</w:t>
      </w:r>
      <w:r>
        <w:t xml:space="preserve">.</w:t>
      </w:r>
      <w:r>
        <w:t xml:space="preserve"> </w:t>
      </w:r>
      <w:r>
        <w:t xml:space="preserve">Thus, assessing the extent to which the level of mobility has returned back to the pre-pandemic baseline level across socioeconomic groups is important to understand the potentially unequal long-term impacts of hybrid working.</w:t>
      </w:r>
    </w:p>
    <w:p>
      <w:pPr>
        <w:pStyle w:val="BodyText"/>
      </w:pPr>
      <w:r>
        <w:t xml:space="preserve">A key barrier to monitor changes in geographic mobility patterns in less developed countries during and post the COVID-19 pandemic has been the lack of suitable data</w:t>
      </w:r>
      <w:r>
        <w:rPr>
          <w:vertAlign w:val="superscript"/>
        </w:rPr>
        <w:t xml:space="preserve">20</w:t>
      </w:r>
      <w:r>
        <w:t xml:space="preserve">.</w:t>
      </w:r>
      <w:r>
        <w:t xml:space="preserve"> </w:t>
      </w:r>
      <w:r>
        <w:t xml:space="preserve">Traditionally census and survey data have been employed to analyse human mobility patterns in these countries</w:t>
      </w:r>
      <w:r>
        <w:rPr>
          <w:vertAlign w:val="superscript"/>
        </w:rPr>
        <w:t xml:space="preserve">23</w:t>
      </w:r>
      <w:r>
        <w:t xml:space="preserve">.</w:t>
      </w:r>
      <w:r>
        <w:t xml:space="preserve"> </w:t>
      </w:r>
      <w:r>
        <w:t xml:space="preserve">Yet, these data streams are not frequently updated and suffer from slow releases, with census data for example being collected over intervals of ten years in most countries</w:t>
      </w:r>
      <w:r>
        <w:rPr>
          <w:vertAlign w:val="superscript"/>
        </w:rPr>
        <w:t xml:space="preserve">24</w:t>
      </w:r>
      <w:r>
        <w:t xml:space="preserve">.</w:t>
      </w:r>
      <w:r>
        <w:t xml:space="preserve"> </w:t>
      </w:r>
      <w:r>
        <w:t xml:space="preserve">Traditional data streams thus lack the temporal granularity to analyse population movements over short-time periods and to offer an up-to-date representation of the urban mobility system</w:t>
      </w:r>
      <w:r>
        <w:rPr>
          <w:vertAlign w:val="superscript"/>
        </w:rPr>
        <w:t xml:space="preserve">25</w:t>
      </w:r>
      <w:r>
        <w:t xml:space="preserve">.</w:t>
      </w:r>
      <w:r>
        <w:t xml:space="preserve"> </w:t>
      </w:r>
      <w:r>
        <w:t xml:space="preserve">Data resulting from social interactions on digital platforms have emerged as an unique source of information to deliver this representation and capture human population movement in less developed countries at scale</w:t>
      </w:r>
      <w:r>
        <w:rPr>
          <w:vertAlign w:val="superscript"/>
        </w:rPr>
        <w:t xml:space="preserve">25</w:t>
      </w:r>
      <w:r>
        <w:t xml:space="preserve">.</w:t>
      </w:r>
      <w:r>
        <w:t xml:space="preserve"> </w:t>
      </w:r>
      <w:r>
        <w:t xml:space="preserve">Particularly location data from mobile phone applications have become a prominent source to sense patterns of human mobility at higher geographical and temporal resolution in real time</w:t>
      </w:r>
      <w:r>
        <w:rPr>
          <w:vertAlign w:val="superscript"/>
        </w:rPr>
        <w:t xml:space="preserve">26</w:t>
      </w:r>
      <w:r>
        <w:t xml:space="preserve">.</w:t>
      </w:r>
    </w:p>
    <w:p>
      <w:pPr>
        <w:pStyle w:val="BodyText"/>
      </w:pPr>
      <w:r>
        <w:t xml:space="preserve">Drawing on a dataset of 213 million observations from Meta-Facebook users’ mobile location data, we aim to assess socioeconomic differences in the extent and persistence of decline in urban mobility in Argentina, Chile, Colombia and Mexico during and after the COVID-19 pandemic from March 2020 to March 2023.</w:t>
      </w:r>
      <w:r>
        <w:t xml:space="preserve"> </w:t>
      </w:r>
      <w:r>
        <w:t xml:space="preserve">We use Meta-Facebook data to measure origin-destination flows from March 2020 to May 2022, and Meta Prophet time-series forecasting machine learning algorithm</w:t>
      </w:r>
      <w:r>
        <w:rPr>
          <w:vertAlign w:val="superscript"/>
        </w:rPr>
        <w:t xml:space="preserve">27</w:t>
      </w:r>
      <w:r>
        <w:t xml:space="preserve"> </w:t>
      </w:r>
      <w:r>
        <w:t xml:space="preserve">to predict origin-destination flows from June 2022 to March 2023.</w:t>
      </w:r>
      <w:r>
        <w:t xml:space="preserve"> </w:t>
      </w:r>
      <w:r>
        <w:t xml:space="preserve"> </w:t>
      </w:r>
      <w:r>
        <w:t xml:space="preserve">We use Functional Urban Areas (FUAs) boundaries from the Global Human Settlement Layer (GHSL), developed by the European Comission’s Joint Research Centre</w:t>
      </w:r>
      <w:r>
        <w:rPr>
          <w:vertAlign w:val="superscript"/>
        </w:rPr>
        <w:t xml:space="preserve">28</w:t>
      </w:r>
      <w:r>
        <w:t xml:space="preserve"> </w:t>
      </w:r>
      <w:r>
        <w:t xml:space="preserve">to define urban areas; and the Global Gridded Relative Deprivation Index (GRDI) developed by NASA’s Socioeconomic Data and Applications Centre</w:t>
      </w:r>
      <w:r>
        <w:rPr>
          <w:vertAlign w:val="superscript"/>
        </w:rPr>
        <w:t xml:space="preserve">29</w:t>
      </w:r>
      <w:r>
        <w:t xml:space="preserve"> </w:t>
      </w:r>
      <w:r>
        <w:t xml:space="preserve">from sociodemographic and satellite data inputs.</w:t>
      </w:r>
      <w:r>
        <w:t xml:space="preserve"> </w:t>
      </w:r>
      <w:r>
        <w:t xml:space="preserve">Building on existing evidence</w:t>
      </w:r>
      <w:r>
        <w:rPr>
          <w:vertAlign w:val="superscript"/>
        </w:rPr>
        <w:t xml:space="preserve">e.g. 30,31</w:t>
      </w:r>
      <w:r>
        <w:t xml:space="preserve">, we hypothesised that (1) urban mobility has recovered returning to the pre-pandemic baseline level of movement as nonpharmaceuthical restrictions were lifted; and, that (2) socioeconomic differences in urban mobility have endured the pandemic reflecting deep societal inequalities as knowledge-intensive businesses adopt hybrid working.</w:t>
      </w:r>
      <w:r>
        <w:t xml:space="preserve"> </w:t>
      </w:r>
      <w:r>
        <w:br/>
      </w:r>
    </w:p>
    <w:p>
      <w:pPr>
        <w:pStyle w:val="BodyText"/>
      </w:pPr>
      <w:r>
        <w:t xml:space="preserve">Latin America provides an ideal test-bed for testing these hypotheses because of its exceptionally high levels of inequalities</w:t>
      </w:r>
      <w:r>
        <w:rPr>
          <w:vertAlign w:val="superscript"/>
        </w:rPr>
        <w:t xml:space="preserve">32,33</w:t>
      </w:r>
      <w:r>
        <w:t xml:space="preserve"> </w:t>
      </w:r>
      <w:r>
        <w:t xml:space="preserve">and urbanisation</w:t>
      </w:r>
      <w:r>
        <w:rPr>
          <w:vertAlign w:val="superscript"/>
        </w:rPr>
        <w:t xml:space="preserve">34</w:t>
      </w:r>
      <w:r>
        <w:t xml:space="preserve">. Half of the 20 most unequal countries in the planet are in this region. The average income Gini index of the region is 4 percentage points higher than that of Africa and 11 higher than China</w:t>
      </w:r>
      <w:r>
        <w:rPr>
          <w:vertAlign w:val="superscript"/>
        </w:rPr>
        <w:t xml:space="preserve">35</w:t>
      </w:r>
      <w:r>
        <w:t xml:space="preserve">, and cities display some of the starkest inequalities</w:t>
      </w:r>
      <w:r>
        <w:rPr>
          <w:vertAlign w:val="superscript"/>
        </w:rPr>
        <w:t xml:space="preserve">36</w:t>
      </w:r>
      <w:r>
        <w:t xml:space="preserve">. Currently, over 80% of the population in Latin America live in urban areas. By 2050, this share is predicted to reach 89%, with the largest share concentrating in a few megacities</w:t>
      </w:r>
      <w:r>
        <w:rPr>
          <w:vertAlign w:val="superscript"/>
        </w:rPr>
        <w:t xml:space="preserve">36</w:t>
      </w:r>
      <w:r>
        <w:t xml:space="preserve">. Developing an understanding of human mobility in Latin America is thus important to support sustainable and inclusive spaces</w:t>
      </w:r>
      <w:r>
        <w:rPr>
          <w:vertAlign w:val="superscript"/>
        </w:rPr>
        <w:t xml:space="preserve">36</w:t>
      </w:r>
      <w:r>
        <w:t xml:space="preserve">.</w:t>
      </w:r>
    </w:p>
    <w:bookmarkEnd w:id="20"/>
    <w:bookmarkStart w:id="32" w:name="sec-results"/>
    <w:p>
      <w:pPr>
        <w:pStyle w:val="Heading1"/>
      </w:pPr>
      <w:r>
        <w:t xml:space="preserve">2. Results</w:t>
      </w:r>
    </w:p>
    <w:p>
      <w:pPr>
        <w:pStyle w:val="FirstParagraph"/>
      </w:pPr>
      <w:r>
        <w:t xml:space="preserve">The evolution of the percentage change in the number of movements is measured with respect to a baseline period prior to the pandemic as described in</w:t>
      </w:r>
      <w:r>
        <w:t xml:space="preserve"> </w:t>
      </w:r>
      <w:hyperlink w:anchor="sec-methods">
        <w:r>
          <w:rPr>
            <w:rStyle w:val="Hyperlink"/>
          </w:rPr>
          <w:t xml:space="preserve">Section 4</w:t>
        </w:r>
      </w:hyperlink>
      <w:r>
        <w:t xml:space="preserve">.</w:t>
      </w:r>
      <w:r>
        <w:t xml:space="preserve"> </w:t>
      </w:r>
      <w:r>
        <w:t xml:space="preserve">For the purposes of the analysis, we aggregate the raw movement data temporally into months and spatially into administrative units at various levels according to GADM, the Database of Global Administrative Areas</w:t>
      </w:r>
      <w:r>
        <w:rPr>
          <w:vertAlign w:val="superscript"/>
        </w:rPr>
        <w:t xml:space="preserve">37</w:t>
      </w:r>
      <w:r>
        <w:t xml:space="preserve">.</w:t>
      </w:r>
      <w:r>
        <w:t xml:space="preserve"> </w:t>
      </w:r>
      <w:r>
        <w:t xml:space="preserve">The analysis focuses on administrative units that are within the boundaries of functional urban areas as specified by the Global Human Settlement Layer (GHSL).</w:t>
      </w:r>
      <w:r>
        <w:t xml:space="preserve"> </w:t>
      </w:r>
      <w:r>
        <w:t xml:space="preserve">For each administrative unit, we compute the Relative Deprivation Index (RDI) based on data from NASA’s Socioeconomic Data and Applications Centre (SEDAC).</w:t>
      </w:r>
      <w:r>
        <w:t xml:space="preserve"> </w:t>
      </w:r>
      <w:r>
        <w:t xml:space="preserve">Figure 1 displays the administrative units included in the study, coloured according to their average RDI.</w:t>
      </w:r>
      <w:r>
        <w:t xml:space="preserve"> </w:t>
      </w:r>
      <w:r>
        <w:t xml:space="preserve">Predictions about the evolution of the percentage change in the number of movements are made using the Prophet forecasting procedure.</w:t>
      </w:r>
      <w:r>
        <w:t xml:space="preserve"> </w:t>
      </w:r>
      <w:r>
        <w:t xml:space="preserve">Further details are provided in</w:t>
      </w:r>
      <w:r>
        <w:t xml:space="preserve"> </w:t>
      </w:r>
      <w:hyperlink w:anchor="sec-methods">
        <w:r>
          <w:rPr>
            <w:rStyle w:val="Hyperlink"/>
          </w:rPr>
          <w:t xml:space="preserve">Section 4</w:t>
        </w:r>
      </w:hyperlink>
      <w:r>
        <w:t xml:space="preserve">.</w:t>
      </w:r>
    </w:p>
    <w:p>
      <w:pPr>
        <w:pStyle w:val="CaptionedFigure"/>
      </w:pPr>
      <w:r>
        <w:drawing>
          <wp:inline>
            <wp:extent cx="5334000" cy="3000375"/>
            <wp:effectExtent b="0" l="0" r="0" t="0"/>
            <wp:docPr descr="Administrative units within functional urban areas in Argentina, Chile, Colombia and Mexico, coloured according to the average Relative Deprivation Index." title="" id="22" name="Picture"/>
            <a:graphic>
              <a:graphicData uri="http://schemas.openxmlformats.org/drawingml/2006/picture">
                <pic:pic>
                  <pic:nvPicPr>
                    <pic:cNvPr descr="figures/maps.pdf" id="23" name="Picture"/>
                    <pic:cNvPicPr>
                      <a:picLocks noChangeArrowheads="1" noChangeAspect="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Administrative units within functional urban areas in Argentina, Chile, Colombia and Mexico, coloured according to the average Relative Deprivation Index.</w:t>
      </w:r>
    </w:p>
    <w:bookmarkStart w:id="27" w:name="Xc3a5af3644f4b28a5572ad9d62dd7b0501aa350"/>
    <w:p>
      <w:pPr>
        <w:pStyle w:val="Heading2"/>
      </w:pPr>
      <w:r>
        <w:t xml:space="preserve">2.1 The heterogeneous impact of COVID-19 on urban mobility</w:t>
      </w:r>
    </w:p>
    <w:p>
      <w:pPr>
        <w:pStyle w:val="FirstParagraph"/>
      </w:pPr>
      <w:r>
        <w:t xml:space="preserve">We analyse the evolution of the percentage change in the number of movements with respect to a baseline period prior to the pandemic.</w:t>
      </w:r>
      <w:r>
        <w:t xml:space="preserve"> </w:t>
      </w:r>
      <w:r>
        <w:t xml:space="preserve">Specifically, we focus the analysis on short-distance movements in urban areas to represent local and routine mobility</w:t>
      </w:r>
      <w:r>
        <w:rPr>
          <w:vertAlign w:val="superscript"/>
        </w:rPr>
        <w:t xml:space="preserve">38</w:t>
      </w:r>
      <w:r>
        <w:t xml:space="preserve">, so only movements covering a distance of at most 70 km are considered.</w:t>
      </w:r>
      <w:r>
        <w:t xml:space="preserve"> </w:t>
      </w:r>
      <w:r>
        <w:t xml:space="preserve">For a movement to be classified as urban it needs to start or end within a functional urban area from Argentina, Chile, Colombia and Mexico.</w:t>
      </w:r>
      <w:r>
        <w:t xml:space="preserve"> </w:t>
      </w:r>
      <w:r>
        <w:t xml:space="preserve">The observed data is available for a two-year period starting in April 2020, just after the first wave of COVID-19 pandemic cases, and ending in March 2022.</w:t>
      </w:r>
      <w:r>
        <w:t xml:space="preserve"> </w:t>
      </w:r>
      <w:r>
        <w:t xml:space="preserve">After 2022 no observations are available, however, we generate a 12-month forecast up to March 2023 in order to gain a better understanding of the recovery trends.</w:t>
      </w:r>
    </w:p>
    <w:p>
      <w:pPr>
        <w:pStyle w:val="BodyText"/>
      </w:pPr>
      <w:r>
        <w:t xml:space="preserve">Figure 2 displays the patterns of recovery for the mobility levels in the administrative units belonging to functional urban areas in the countries of interest.</w:t>
      </w:r>
      <w:r>
        <w:t xml:space="preserve"> </w:t>
      </w:r>
      <w:r>
        <w:t xml:space="preserve">The three lines in each panel represent the mean levels of mobility for administrative units grouped into one of three terciles, according to their average RDI.</w:t>
      </w:r>
    </w:p>
    <w:p>
      <w:pPr>
        <w:pStyle w:val="CaptionedFigure"/>
      </w:pPr>
      <w:r>
        <w:drawing>
          <wp:inline>
            <wp:extent cx="5334000" cy="3000375"/>
            <wp:effectExtent b="0" l="0" r="0" t="0"/>
            <wp:docPr descr="Patterns of recovery for urban mobility in administrative units from Argentina, Chile, Colombia and Mexico." title="" id="25" name="Picture"/>
            <a:graphic>
              <a:graphicData uri="http://schemas.openxmlformats.org/drawingml/2006/picture">
                <pic:pic>
                  <pic:nvPicPr>
                    <pic:cNvPr descr="figures/prediction-rdi-band.pdf" id="26" name="Picture"/>
                    <pic:cNvPicPr>
                      <a:picLocks noChangeArrowheads="1" noChangeAspect="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Patterns of recovery for urban mobility in administrative units from Argentina, Chile, Colombia and Mexico.</w:t>
      </w:r>
    </w:p>
    <w:p>
      <w:pPr>
        <w:pStyle w:val="BodyText"/>
      </w:pPr>
      <w:r>
        <w:t xml:space="preserve">Generally, there was a drop in the levels of mobility with respect to the baseline period in all four countries.</w:t>
      </w:r>
      <w:r>
        <w:t xml:space="preserve"> </w:t>
      </w:r>
      <w:r>
        <w:t xml:space="preserve">This drop was especially large for Argentina, Chile and Colombia, with Mexico displaying a smaller decrease in the percentage change in the number of movements with respect to the baseline.</w:t>
      </w:r>
      <w:r>
        <w:t xml:space="preserve"> </w:t>
      </w:r>
      <w:r>
        <w:t xml:space="preserve">Following the initial drop in mobility, all four countries evolve towards the recovery of baseline levels of mobility, with a generally increasing trend.</w:t>
      </w:r>
      <w:r>
        <w:t xml:space="preserve"> </w:t>
      </w:r>
      <w:r>
        <w:t xml:space="preserve">There are, however, fluctuations from the general trend which manifest differently for each country.</w:t>
      </w:r>
      <w:r>
        <w:t xml:space="preserve"> </w:t>
      </w:r>
      <w:r>
        <w:t xml:space="preserve">These fluctuations mirror each other in the case of Argentina and Colombia, where urban mobility sharply bounces back closer to pre-pandemic levels around July of 2020.</w:t>
      </w:r>
      <w:r>
        <w:t xml:space="preserve"> </w:t>
      </w:r>
      <w:r>
        <w:t xml:space="preserve">Chile and Mexico display more progressive patterns of recovery, although Chile never reaches baseline levels.</w:t>
      </w:r>
      <w:r>
        <w:t xml:space="preserve"> </w:t>
      </w:r>
      <w:r>
        <w:t xml:space="preserve">These fluctuations are unique to each country and can be attributed to local factors such as the effects of seasonality or the different stringency measures imposed by the national governments during the pandemic.</w:t>
      </w:r>
    </w:p>
    <w:p>
      <w:pPr>
        <w:pStyle w:val="BodyText"/>
      </w:pPr>
      <w:r>
        <w:t xml:space="preserve">From Figure 2, we observe that there is a consistent tendency in how administrative units with varying levels of deprivation were affected by the pandemic.</w:t>
      </w:r>
      <w:r>
        <w:t xml:space="preserve"> </w:t>
      </w:r>
      <w:r>
        <w:t xml:space="preserve">For all four countries, we observe that the administrative units in the most deprived tercile are the ones that experienced the smallest loss in levels of mobility at the beginning of the pandemic.</w:t>
      </w:r>
      <w:r>
        <w:t xml:space="preserve"> </w:t>
      </w:r>
      <w:r>
        <w:t xml:space="preserve">Differences in the levels of mobility across relative deprivation terciles diminish with time.</w:t>
      </w:r>
      <w:r>
        <w:t xml:space="preserve"> </w:t>
      </w:r>
      <w:r>
        <w:t xml:space="preserve">Argentina and Chile stand out as the countries with the largest differences in mobility levels for different relative deprivation terciles.</w:t>
      </w:r>
    </w:p>
    <w:bookmarkEnd w:id="27"/>
    <w:bookmarkStart w:id="31" w:name="X2f39806de3e9dc05861fbf34552ad12e0ad2d46"/>
    <w:p>
      <w:pPr>
        <w:pStyle w:val="Heading2"/>
      </w:pPr>
      <w:r>
        <w:t xml:space="preserve">2.2 The most deprived areas experienced the smallest drop in mobility relative to pre-pandemic levels</w:t>
      </w:r>
    </w:p>
    <w:p>
      <w:pPr>
        <w:pStyle w:val="FirstParagraph"/>
      </w:pPr>
      <w:r>
        <w:t xml:space="preserve">In this section we explore further the role of socioeconomic deprivation in the evolution of the levels of urban mobility.</w:t>
      </w:r>
      <w:r>
        <w:t xml:space="preserve"> </w:t>
      </w:r>
      <w:r>
        <w:t xml:space="preserve">For a given point in time (i.e. a month), we start by considering the relationship between the percentage change in the number of movements relative to the pre-pandemic baseline period and the average RDI, at the administrative unit level.</w:t>
      </w:r>
      <w:r>
        <w:t xml:space="preserve"> </w:t>
      </w:r>
      <w:r>
        <w:t xml:space="preserve">We assume that this relationship is linear and we use a linear regression to estimate the slope and intercept characterising the line of best fit.</w:t>
      </w:r>
      <w:r>
        <w:t xml:space="preserve"> </w:t>
      </w:r>
      <w:r>
        <w:t xml:space="preserve">This is shown for April 2020 and March 2022 in the right-hand side panels of Figure 3.</w:t>
      </w:r>
      <w:r>
        <w:t xml:space="preserve"> </w:t>
      </w:r>
      <w:r>
        <w:t xml:space="preserve">After obtaining the slope and intercept for every month, we are able to plot the evolution of these parameters for both the observed and forecasted data, as displayed on the left-hand-side panels of the same Figure.</w:t>
      </w:r>
    </w:p>
    <w:p>
      <w:pPr>
        <w:pStyle w:val="CaptionedFigure"/>
      </w:pPr>
      <w:r>
        <w:drawing>
          <wp:inline>
            <wp:extent cx="5334000" cy="3000375"/>
            <wp:effectExtent b="0" l="0" r="0" t="0"/>
            <wp:docPr descr="Evolution of the parameters characterising the relationship between relative deprivation index and the percentage change in the number of movements relative to the pre-pandemic baseline level of mobility." title="" id="29" name="Picture"/>
            <a:graphic>
              <a:graphicData uri="http://schemas.openxmlformats.org/drawingml/2006/picture">
                <pic:pic>
                  <pic:nvPicPr>
                    <pic:cNvPr descr="figures/regression-evo-nobackground.pdf" id="3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Evolution of the parameters characterising the relationship between relative deprivation index and the percentage change in the number of movements relative to the pre-pandemic baseline level of mobility.</w:t>
      </w:r>
    </w:p>
    <w:p>
      <w:pPr>
        <w:pStyle w:val="BodyText"/>
      </w:pPr>
      <w:r>
        <w:t xml:space="preserve">We find patterns in the evolution of the estimated parameters that characterise the relationship between the levels of urban mobility and RDI.</w:t>
      </w:r>
      <w:r>
        <w:t xml:space="preserve"> </w:t>
      </w:r>
      <w:r>
        <w:t xml:space="preserve">In Argentina, Colombia and Mexico, we observe that the slope of this relationship evolves to become smaller over time.</w:t>
      </w:r>
      <w:r>
        <w:t xml:space="preserve"> </w:t>
      </w:r>
      <w:r>
        <w:t xml:space="preserve">The tendency is not apparent in Chile, where the slope of the relationship remains approximately the same over time despite the temporary fluctuations.</w:t>
      </w:r>
      <w:r>
        <w:t xml:space="preserve"> </w:t>
      </w:r>
      <w:r>
        <w:t xml:space="preserve">The slope captures the extent of differences in the level of urban mobility across administrative units with varying levels of socioeconomic deprivation.</w:t>
      </w:r>
      <w:r>
        <w:t xml:space="preserve"> </w:t>
      </w:r>
      <w:r>
        <w:t xml:space="preserve">It can therefore be regarded as a measure of inequality in mobility patterns across socioeconomic groups.</w:t>
      </w:r>
      <w:r>
        <w:t xml:space="preserve"> </w:t>
      </w:r>
      <w:r>
        <w:t xml:space="preserve">A slope equal to zero would mean that all administrative units display the same level of mobility regardless of their average RDI.</w:t>
      </w:r>
      <w:r>
        <w:t xml:space="preserve"> </w:t>
      </w:r>
      <w:r>
        <w:t xml:space="preserve">Given the patterns observed in Argentina, Colombia and Mexico, we find that at the beginning of the pandemic there were notable inequalities between socioeconomic groups in terms of the levels of urban mobility.</w:t>
      </w:r>
      <w:r>
        <w:t xml:space="preserve"> </w:t>
      </w:r>
      <w:r>
        <w:t xml:space="preserve">While it has taken more than two years for Argentina and Mexico to close the gap (their slope is close to zero from spring 2022), inequalities persist in Chile and Colombia as of March 2023.</w:t>
      </w:r>
    </w:p>
    <w:p>
      <w:pPr>
        <w:pStyle w:val="BodyText"/>
      </w:pPr>
      <w:r>
        <w:t xml:space="preserve">The intercept of the relationship displays stronger patterns, which are consistent across the four countries.</w:t>
      </w:r>
      <w:r>
        <w:t xml:space="preserve"> </w:t>
      </w:r>
      <w:r>
        <w:t xml:space="preserve">The intercept estimates the urban mobility levels that would be observed in administrative units where the RDI is zero.</w:t>
      </w:r>
      <w:r>
        <w:t xml:space="preserve"> </w:t>
      </w:r>
      <w:r>
        <w:t xml:space="preserve">The intercept was below the baseline level at the early stages of the pandemic.</w:t>
      </w:r>
      <w:r>
        <w:t xml:space="preserve"> </w:t>
      </w:r>
      <w:r>
        <w:t xml:space="preserve">As observed in Figure 3, while there are some differences between countries in the evolution of the intercept, the general tendency is for the intercept to increase.</w:t>
      </w:r>
      <w:r>
        <w:t xml:space="preserve"> </w:t>
      </w:r>
      <w:r>
        <w:t xml:space="preserve">While Argentina and Mexico reach values that are closer to the baseline towards the end of the forecast period, the intercept for Chile and Colombia remains lower.</w:t>
      </w:r>
      <w:r>
        <w:t xml:space="preserve"> </w:t>
      </w:r>
      <w:r>
        <w:t xml:space="preserve">Therefore, if there were areas with no socioeconomic deprivation, we would have seen a recovery in the levels of mobility, especially in Argentina and Mexico</w:t>
      </w:r>
    </w:p>
    <w:bookmarkEnd w:id="31"/>
    <w:bookmarkEnd w:id="32"/>
    <w:bookmarkStart w:id="33" w:name="sec-discussion"/>
    <w:p>
      <w:pPr>
        <w:pStyle w:val="Heading1"/>
      </w:pPr>
      <w:r>
        <w:t xml:space="preserve">3. Discussion</w:t>
      </w:r>
    </w:p>
    <w:p>
      <w:pPr>
        <w:pStyle w:val="FirstParagraph"/>
      </w:pPr>
      <w:r>
        <w:t xml:space="preserve">Using location data from Meta-Facebook users, our study aimed to examine the evolution of patterns of mobility across socioeconomic groups in functional urban areas from Argentina, Chile, Colombia and Mexico from April 2020 to March 2023, following the COVID-19 pandemic.</w:t>
      </w:r>
      <w:r>
        <w:t xml:space="preserve"> </w:t>
      </w:r>
      <w:r>
        <w:t xml:space="preserve">We found a systematic drop in the number of population movements in April 2020, with the largest reductions observed in the most affluent administrative units within functional urban areas (FUAs) from Argentina, Chile and Colombia.</w:t>
      </w:r>
      <w:r>
        <w:t xml:space="preserve"> </w:t>
      </w:r>
      <w:r>
        <w:t xml:space="preserve">While mobility rebounded closer to pre-pandemic levels approximately two years later, when COVID-19 restrictions eased, the number of movements remained below pre-pandemic in Chile.</w:t>
      </w:r>
      <w:r>
        <w:t xml:space="preserve"> </w:t>
      </w:r>
      <w:r>
        <w:t xml:space="preserve">Furthermore, we found that at the beginning of the pandemic there were inequalities between socioeconomic groups in terms of the levels of urban mobility.</w:t>
      </w:r>
      <w:r>
        <w:t xml:space="preserve"> </w:t>
      </w:r>
      <w:r>
        <w:t xml:space="preserve">While it has taken more than two years for Argentina and Mexico to gradually reduce gap, inequalities persist as of March 2023, especially in Chile and Colombia according to our estimated data.</w:t>
      </w:r>
    </w:p>
    <w:p>
      <w:pPr>
        <w:pStyle w:val="BodyText"/>
      </w:pPr>
      <w:r>
        <w:t xml:space="preserve">We focused the analysis on short-distance movements in urban areas, especifically those covering 70 km or less.</w:t>
      </w:r>
      <w:r>
        <w:t xml:space="preserve"> </w:t>
      </w:r>
      <w:r>
        <w:t xml:space="preserve">These journeys are typically considered to represent local and routine mobility</w:t>
      </w:r>
      <w:r>
        <w:rPr>
          <w:vertAlign w:val="superscript"/>
        </w:rPr>
        <w:t xml:space="preserve">38</w:t>
      </w:r>
      <w:r>
        <w:t xml:space="preserve"> </w:t>
      </w:r>
      <w:r>
        <w:t xml:space="preserve">.</w:t>
      </w:r>
      <w:r>
        <w:t xml:space="preserve"> </w:t>
      </w:r>
      <w:r>
        <w:t xml:space="preserve">However, due to the characteristics of the Meta-Facebook movement data, we are unable to distinguish the purpose of these short-distance movements.</w:t>
      </w:r>
      <w:r>
        <w:t xml:space="preserve"> </w:t>
      </w:r>
      <w:r>
        <w:t xml:space="preserve">Hence, some of our data could be capturing journeys that involve a permanent change of place of residence.</w:t>
      </w:r>
      <w:r>
        <w:t xml:space="preserve"> </w:t>
      </w:r>
      <w:r>
        <w:t xml:space="preserve">Our work therefore motivates the need to answer questions regarding the validity of digital footprint data for the analysis of human mobility.</w:t>
      </w:r>
      <w:r>
        <w:t xml:space="preserve"> </w:t>
      </w:r>
      <w:r>
        <w:t xml:space="preserve">Further research should focus on inferring more specific information about the nature of the journeys, following similar approaches to those proposed by</w:t>
      </w:r>
      <w:r>
        <w:rPr>
          <w:vertAlign w:val="superscript"/>
        </w:rPr>
        <w:t xml:space="preserve">42</w:t>
      </w:r>
      <w:r>
        <w:t xml:space="preserve">, and quantifying the extent to which the digital footprint data mirrors the true mobility patterns.</w:t>
      </w:r>
    </w:p>
    <w:p>
      <w:pPr>
        <w:pStyle w:val="BodyText"/>
      </w:pPr>
      <w:r>
        <w:t xml:space="preserve">Conducting research on urban mobility using digital footprint data is not straightforward, due to the challenges in accessing and working with unstructured data sets which are often subject to biases and statistical representation issues.</w:t>
      </w:r>
      <w:r>
        <w:t xml:space="preserve"> </w:t>
      </w:r>
      <w:r>
        <w:t xml:space="preserve">These biases often arise from inequalities in access and usage of digital technologies across demographic groups</w:t>
      </w:r>
      <w:r>
        <w:rPr>
          <w:vertAlign w:val="superscript"/>
        </w:rPr>
        <w:t xml:space="preserve">43</w:t>
      </w:r>
      <w:r>
        <w:t xml:space="preserve">.</w:t>
      </w:r>
      <w:r>
        <w:t xml:space="preserve"> </w:t>
      </w:r>
      <w:r>
        <w:t xml:space="preserve">Despite these challenges, the data and analysis that we used for this work provide evidence for non-trivial patterns that are consistent across four countries in Latin America and with other parts of the world.</w:t>
      </w:r>
      <w:r>
        <w:t xml:space="preserve"> </w:t>
      </w:r>
      <w:r>
        <w:t xml:space="preserve">Our findings highlight the dynamic interplay between socioeconomic status and urban mobility, and shall be used to motivate and inform the public debate regarding the deep societal consequences of urban mobility disparities on the wider socioeconomic landscape of Latin American countries.</w:t>
      </w:r>
    </w:p>
    <w:p>
      <w:pPr>
        <w:pStyle w:val="BodyText"/>
      </w:pPr>
      <w:r>
        <w:t xml:space="preserve">In conclusion, we argue that this work goes beyond the analysis of specific patterns by demonstrating the potential of digital footprint data for policy-relevant research on human mobility at an unprecedented level of spatiotemporal granularity.</w:t>
      </w:r>
      <w:r>
        <w:t xml:space="preserve"> </w:t>
      </w:r>
      <w:r>
        <w:t xml:space="preserve">While we have seen a rise in initiatives to improve data services and methodological frameworks to facilitate the use of digital footprint data for social good, progress is still limited, especially in some parts of the world including Latin America.</w:t>
      </w:r>
      <w:r>
        <w:t xml:space="preserve"> </w:t>
      </w:r>
      <w:r>
        <w:t xml:space="preserve">It is in the hands of governments and public organisations to prioritise the maximisation the societal benefits that digital footprint data has to offer.</w:t>
      </w:r>
      <w:r>
        <w:t xml:space="preserve"> </w:t>
      </w:r>
      <w:r>
        <w:t xml:space="preserve">This includes engaging in activities such as building strategic partnerships with commercial data-holders and academic institutions to establish a unified framework for the use of digital footprint data in policy and research.</w:t>
      </w:r>
      <w:r>
        <w:t xml:space="preserve"> </w:t>
      </w:r>
      <w:r>
        <w:t xml:space="preserve">In particular, we call for the creation of resources like those developed by the European Commission Joint Research Centre</w:t>
      </w:r>
      <w:r>
        <w:rPr>
          <w:vertAlign w:val="superscript"/>
        </w:rPr>
        <w:t xml:space="preserve">44</w:t>
      </w:r>
      <w:r>
        <w:t xml:space="preserve"> </w:t>
      </w:r>
      <w:r>
        <w:t xml:space="preserve">and the UN Statistics Division</w:t>
      </w:r>
      <w:r>
        <w:rPr>
          <w:vertAlign w:val="superscript"/>
        </w:rPr>
        <w:t xml:space="preserve">45</w:t>
      </w:r>
      <w:r>
        <w:t xml:space="preserve">, which identify sources of non-traditional data and set methodological protocols for incorporating mobile phone data into official mobility statistics.</w:t>
      </w:r>
      <w:r>
        <w:t xml:space="preserve"> </w:t>
      </w:r>
      <w:r>
        <w:t xml:space="preserve">While current resources tend to have a global reach, we advocate for more tailored local initiatives that acknowledge disparities in regional data availability and adoption of digital technologies.</w:t>
      </w:r>
    </w:p>
    <w:bookmarkEnd w:id="33"/>
    <w:bookmarkStart w:id="38" w:name="sec-methods"/>
    <w:p>
      <w:pPr>
        <w:pStyle w:val="Heading1"/>
      </w:pPr>
      <w:r>
        <w:t xml:space="preserve">4. Methods</w:t>
      </w:r>
    </w:p>
    <w:bookmarkStart w:id="35" w:name="meta-facebook-movement-data"/>
    <w:p>
      <w:pPr>
        <w:pStyle w:val="Heading2"/>
      </w:pPr>
      <w:r>
        <w:t xml:space="preserve">4.1 Meta-Facebook movement data</w:t>
      </w:r>
    </w:p>
    <w:p>
      <w:pPr>
        <w:pStyle w:val="FirstParagraph"/>
      </w:pPr>
      <w:r>
        <w:t xml:space="preserve">To capture population movements, we used anonymised aggregate mobile phone location data from Meta users for Argentina, Colombia, Chile and Mexico, covering a 24-month period from April 2020 to March 2022.</w:t>
      </w:r>
      <w:r>
        <w:t xml:space="preserve"> </w:t>
      </w:r>
      <w:r>
        <w:t xml:space="preserve">We used the dataset Facebook Movements created by Meta and accessed through their Data for Good Initiative (</w:t>
      </w:r>
      <w:hyperlink r:id="rId34">
        <w:r>
          <w:rPr>
            <w:rStyle w:val="Hyperlink"/>
          </w:rPr>
          <w:t xml:space="preserve">https://dataforgood.facebook.com</w:t>
        </w:r>
      </w:hyperlink>
      <w:r>
        <w:t xml:space="preserve">).</w:t>
      </w:r>
      <w:r>
        <w:t xml:space="preserve"> </w:t>
      </w:r>
      <w:r>
        <w:t xml:space="preserve">The data are built from Facebook app users who have the location services setting turned on on their smartphone.</w:t>
      </w:r>
      <w:r>
        <w:t xml:space="preserve"> </w:t>
      </w:r>
      <w:r>
        <w:t xml:space="preserve">Prior to releasing the datasets, Meta ensures privacy and anonymity by removing personal information and applying privacy-preserving techniques</w:t>
      </w:r>
      <w:r>
        <w:rPr>
          <w:vertAlign w:val="superscript"/>
        </w:rPr>
        <w:t xml:space="preserve">46</w:t>
      </w:r>
      <w:r>
        <w:t xml:space="preserve">.</w:t>
      </w:r>
      <w:r>
        <w:t xml:space="preserve"> </w:t>
      </w:r>
      <w:r>
        <w:t xml:space="preserve">Small-count dropping is one of these techniques.</w:t>
      </w:r>
      <w:r>
        <w:t xml:space="preserve"> </w:t>
      </w:r>
      <w:r>
        <w:t xml:space="preserve">A data entry is removed if the population or movement count for an area is lower than 10.</w:t>
      </w:r>
      <w:r>
        <w:t xml:space="preserve"> </w:t>
      </w:r>
      <w:r>
        <w:t xml:space="preserve">The removal of small counts may mean that population counts in small sparsely populated areas are not captured.</w:t>
      </w:r>
      <w:r>
        <w:t xml:space="preserve"> </w:t>
      </w:r>
      <w:r>
        <w:t xml:space="preserve">A second technique consists in adding a small undisclosed amount of random noise to ensure that it is not possible to ascertain precise, true counts for sparsely populated locations.</w:t>
      </w:r>
      <w:r>
        <w:t xml:space="preserve"> </w:t>
      </w:r>
      <w:r>
        <w:t xml:space="preserve">Third, spatial smoothing using inverse distance-weighted averaging is also applied is applied to produce a smooth population count surface.</w:t>
      </w:r>
      <w:r>
        <w:t xml:space="preserve"> </w:t>
      </w:r>
      <w:r>
        <w:t xml:space="preserve">The Facebook Movements dataset offers information on the total number of Facebook users moving between and within spatial units in the form of origin-destination matrices.</w:t>
      </w:r>
      <w:r>
        <w:t xml:space="preserve"> </w:t>
      </w:r>
      <w:r>
        <w:t xml:space="preserve">The data is temporally aggregated into three daily 8-hour time windows (i.e. 00:00-08:00, 08:00-16:00 and 16:00-00:00).</w:t>
      </w:r>
      <w:r>
        <w:t xml:space="preserve"> </w:t>
      </w:r>
      <w:r>
        <w:t xml:space="preserve">The dataset includes a baseline capturing the number of movements before COVID-19 based on a 45-day period ending on March 10th 2020.</w:t>
      </w:r>
      <w:r>
        <w:t xml:space="preserve"> </w:t>
      </w:r>
      <w:r>
        <w:t xml:space="preserve">The baseline is computed using an average for the same time of the day and day of the week in the period preceding March 10th.</w:t>
      </w:r>
      <w:r>
        <w:t xml:space="preserve"> </w:t>
      </w:r>
      <w:r>
        <w:t xml:space="preserve">For instance, the baseline for Monday 00:00-08:00 time window is obtained by averaging over data collected on Mondays from 00:00 to 8:00 for the 45-day period.</w:t>
      </w:r>
      <w:r>
        <w:t xml:space="preserve"> </w:t>
      </w:r>
      <w:r>
        <w:t xml:space="preserve">Details about the baseline can be found in</w:t>
      </w:r>
      <w:r>
        <w:rPr>
          <w:vertAlign w:val="superscript"/>
        </w:rPr>
        <w:t xml:space="preserve">46</w:t>
      </w:r>
      <w:r>
        <w:t xml:space="preserve">.</w:t>
      </w:r>
      <w:r>
        <w:t xml:space="preserve"> </w:t>
      </w:r>
      <w:r>
        <w:t xml:space="preserve">The Bing Maps Tile System developed by Microsoft (Microsoft) is used a spatial framework to organise the data.</w:t>
      </w:r>
      <w:r>
        <w:t xml:space="preserve"> </w:t>
      </w:r>
      <w:r>
        <w:t xml:space="preserve">The Tile System is a geospatial indexing system that partitions the world into tile cells in a hierarchical way, comprising 23 different levels of detail (Microsoft).</w:t>
      </w:r>
      <w:r>
        <w:t xml:space="preserve"> </w:t>
      </w:r>
      <w:r>
        <w:t xml:space="preserve">At the lowest level of detail (Level 1), the world is divided into four tiles with a coarse spatial resolution.</w:t>
      </w:r>
      <w:r>
        <w:t xml:space="preserve"> </w:t>
      </w:r>
      <w:r>
        <w:t xml:space="preserve">At each successive level, the resolution increases by a factor of two.</w:t>
      </w:r>
      <w:r>
        <w:t xml:space="preserve"> </w:t>
      </w:r>
      <w:r>
        <w:t xml:space="preserve">The data that we used are spatially aggregated into Bing tile levels 13.</w:t>
      </w:r>
      <w:r>
        <w:t xml:space="preserve"> </w:t>
      </w:r>
      <w:r>
        <w:t xml:space="preserve">That is about 4.9 x 4.9km at the Equator</w:t>
      </w:r>
      <w:r>
        <w:rPr>
          <w:vertAlign w:val="superscript"/>
        </w:rPr>
        <w:t xml:space="preserve">46</w:t>
      </w:r>
      <w:r>
        <w:t xml:space="preserve">.</w:t>
      </w:r>
    </w:p>
    <w:bookmarkEnd w:id="35"/>
    <w:bookmarkStart w:id="36" w:name="spatiotemporal-data-aggregation"/>
    <w:p>
      <w:pPr>
        <w:pStyle w:val="Heading2"/>
      </w:pPr>
      <w:r>
        <w:t xml:space="preserve">4.2 Spatiotemporal data aggregation</w:t>
      </w:r>
    </w:p>
    <w:p>
      <w:pPr>
        <w:pStyle w:val="FirstParagraph"/>
      </w:pPr>
      <w:r>
        <w:t xml:space="preserve">Since the focus of this work is on urban mobility, we focus the analysis on Functional Urban Areas (FUAs), defined by the Global Human Settlement Layer (GHSL).</w:t>
      </w:r>
      <w:r>
        <w:t xml:space="preserve"> </w:t>
      </w:r>
      <w:r>
        <w:t xml:space="preserve">The spatial extent of the FUAs is often large and may include several towns and neighbourhoods displaying a variety of socioeconomic characteristics, hence using FUAs as the spatial units of aggregation would considerably mask the heterogeneity in the mobility patterns.</w:t>
      </w:r>
      <w:r>
        <w:t xml:space="preserve"> </w:t>
      </w:r>
      <w:r>
        <w:t xml:space="preserve">While the original unit of aggregation for the movement data, i.e. the tiles from the Bing Maps Tile System, offers the highest degree of spatial granularity available, the interpretation of findings from an analysis based on administrative units is often more valuable.</w:t>
      </w:r>
      <w:r>
        <w:t xml:space="preserve"> </w:t>
      </w:r>
      <w:r>
        <w:t xml:space="preserve">For this reason, we perform a spatial join to aggregate the movement data into administrative units at the GADM level 2 or 3.</w:t>
      </w:r>
      <w:r>
        <w:t xml:space="preserve"> </w:t>
      </w:r>
      <w:r>
        <w:t xml:space="preserve">Only flows of people starting or ending within the boundaries of a FUA are considered.</w:t>
      </w:r>
    </w:p>
    <w:p>
      <w:pPr>
        <w:pStyle w:val="BodyText"/>
      </w:pPr>
      <w:r>
        <w:t xml:space="preserve">While the original movement data is originally aggregated into 8-hour windows, this resolution is too fine for our analysis.</w:t>
      </w:r>
      <w:r>
        <w:t xml:space="preserve"> </w:t>
      </w:r>
      <w:r>
        <w:t xml:space="preserve">Since the analysis is focused on the longer-term evolution of patterns of urban mobility, we aggregate the movement data by month.</w:t>
      </w:r>
    </w:p>
    <w:p>
      <w:pPr>
        <w:pStyle w:val="BodyText"/>
      </w:pPr>
      <w:r>
        <w:t xml:space="preserve">In our analysis, we use the Relative Deprivation Index (RDI) as a measure of socioeocnomic deprivation.</w:t>
      </w:r>
      <w:r>
        <w:t xml:space="preserve"> </w:t>
      </w:r>
      <w:r>
        <w:t xml:space="preserve">The RDI data is made available via NASA’s Socioeconomic Data and Applications Centre (SEDAC), with a spatial resolution of 1km pixels.</w:t>
      </w:r>
      <w:r>
        <w:t xml:space="preserve"> </w:t>
      </w:r>
      <w:r>
        <w:t xml:space="preserve">We perform a spatial join of the gridded data and the administrative units and compute the average RDI within each of these administrative units.</w:t>
      </w:r>
    </w:p>
    <w:bookmarkEnd w:id="36"/>
    <w:bookmarkStart w:id="37" w:name="time-series-analysis"/>
    <w:p>
      <w:pPr>
        <w:pStyle w:val="Heading2"/>
      </w:pPr>
      <w:r>
        <w:t xml:space="preserve">4.3 Time series analysis</w:t>
      </w:r>
    </w:p>
    <w:p>
      <w:pPr>
        <w:pStyle w:val="FirstParagraph"/>
      </w:pPr>
      <w:r>
        <w:t xml:space="preserve">For the countries included in the analysis, the movement data is available until March 2022.</w:t>
      </w:r>
      <w:r>
        <w:t xml:space="preserve"> </w:t>
      </w:r>
      <w:r>
        <w:t xml:space="preserve">In order to gain a better understanding of the recovery trends after the pandemic, we generate a 12-month forecast up to March 2023.</w:t>
      </w:r>
      <w:r>
        <w:t xml:space="preserve"> </w:t>
      </w:r>
      <w:r>
        <w:t xml:space="preserve">This is done using Prophet</w:t>
      </w:r>
      <w:r>
        <w:rPr>
          <w:vertAlign w:val="superscript"/>
        </w:rPr>
        <w:t xml:space="preserve">27</w:t>
      </w:r>
      <w:r>
        <w:t xml:space="preserve">, a procedure developed by Meta’s Core Data Science team to forecast time series data based on an additive model.</w:t>
      </w:r>
      <w:r>
        <w:t xml:space="preserve"> </w:t>
      </w:r>
      <w:r>
        <w:t xml:space="preserve">Prophet stands out from other forecasting methods due to its ability to capture recurring seasonal trends inherent in mobility data, such as fluctuations during holidays, or changes in the general trend due to the impact of particular circumstances, such as the COVID-19 pandemic.</w:t>
      </w:r>
      <w:r>
        <w:t xml:space="preserve"> </w:t>
      </w:r>
      <w:r>
        <w:t xml:space="preserve">It is particularly intuitive to use compared to other models due to its automated trend-detection capabilities, making it accessible to users with no expertise on the underlying model, while being robust to missing data and outliers.</w:t>
      </w:r>
      <w:r>
        <w:t xml:space="preserve"> </w:t>
      </w:r>
      <w:r>
        <w:t xml:space="preserve">For the analysis in this paper, yearly seasonality effects are included as they yield the most realistic predictions.</w:t>
      </w:r>
    </w:p>
    <w:p>
      <w:pPr>
        <w:pStyle w:val="BodyText"/>
      </w:pPr>
      <w:r>
        <w:t xml:space="preserve">Figures 2 and 3 have been created by removing statistical outliers.</w:t>
      </w:r>
      <w:r>
        <w:t xml:space="preserve"> </w:t>
      </w:r>
      <w:r>
        <w:t xml:space="preserve">We define these as the administrative units which, at any given month, have a z-score greater than 4 for the percentage change in the number of movements.</w:t>
      </w:r>
      <w:r>
        <w:t xml:space="preserve"> </w:t>
      </w:r>
      <w:r>
        <w:t xml:space="preserve">Furthermore, a Savitzky-Golay filter is applied to smooth the time series data, using a length of 4 units for the filter window and order 2 polynomials to fit the samples.</w:t>
      </w:r>
    </w:p>
    <w:bookmarkEnd w:id="37"/>
    <w:bookmarkEnd w:id="38"/>
    <w:bookmarkStart w:id="122" w:name="references"/>
    <w:p>
      <w:pPr>
        <w:pStyle w:val="Heading1"/>
      </w:pPr>
      <w:r>
        <w:t xml:space="preserve">5. References</w:t>
      </w:r>
    </w:p>
    <w:bookmarkStart w:id="121" w:name="refs"/>
    <w:bookmarkStart w:id="40" w:name="ref-ackers2005"/>
    <w:p>
      <w:pPr>
        <w:pStyle w:val="Bibliography"/>
      </w:pPr>
      <w:r>
        <w:t xml:space="preserve">1.</w:t>
      </w:r>
      <w:r>
        <w:t xml:space="preserve"> </w:t>
      </w:r>
      <w:r>
        <w:t xml:space="preserve">	</w:t>
      </w:r>
      <w:r>
        <w:t xml:space="preserve">Ackers, L.</w:t>
      </w:r>
      <w:r>
        <w:t xml:space="preserve"> </w:t>
      </w:r>
      <w:hyperlink r:id="rId39">
        <w:r>
          <w:rPr>
            <w:rStyle w:val="Hyperlink"/>
          </w:rPr>
          <w:t xml:space="preserve">Moving People and Knowledge: Scientific Mobility in the European Union1</w:t>
        </w:r>
      </w:hyperlink>
      <w:r>
        <w:t xml:space="preserve">.</w:t>
      </w:r>
      <w:r>
        <w:t xml:space="preserve"> </w:t>
      </w:r>
      <w:r>
        <w:rPr>
          <w:iCs/>
          <w:i/>
        </w:rPr>
        <w:t xml:space="preserve">International Migration</w:t>
      </w:r>
      <w:r>
        <w:t xml:space="preserve"> </w:t>
      </w:r>
      <w:r>
        <w:rPr>
          <w:bCs/>
          <w:b/>
        </w:rPr>
        <w:t xml:space="preserve">43</w:t>
      </w:r>
      <w:r>
        <w:t xml:space="preserve">, 99–131 (2005).</w:t>
      </w:r>
    </w:p>
    <w:bookmarkEnd w:id="40"/>
    <w:bookmarkStart w:id="42" w:name="ref-chen2016"/>
    <w:p>
      <w:pPr>
        <w:pStyle w:val="Bibliography"/>
      </w:pPr>
      <w:r>
        <w:t xml:space="preserve">2.</w:t>
      </w:r>
      <w:r>
        <w:t xml:space="preserve"> </w:t>
      </w:r>
      <w:r>
        <w:t xml:space="preserve">	</w:t>
      </w:r>
      <w:r>
        <w:t xml:space="preserve">Chen, C., Ma, J., Susilo, Y., Liu, Y. &amp; Wang, M.</w:t>
      </w:r>
      <w:r>
        <w:t xml:space="preserve"> </w:t>
      </w:r>
      <w:hyperlink r:id="rId41">
        <w:r>
          <w:rPr>
            <w:rStyle w:val="Hyperlink"/>
          </w:rPr>
          <w:t xml:space="preserve">The promises of big data and small data for travel behavior (aka human mobility) analysis</w:t>
        </w:r>
      </w:hyperlink>
      <w:r>
        <w:t xml:space="preserve">.</w:t>
      </w:r>
      <w:r>
        <w:t xml:space="preserve"> </w:t>
      </w:r>
      <w:r>
        <w:rPr>
          <w:iCs/>
          <w:i/>
        </w:rPr>
        <w:t xml:space="preserve">Transportation Research Part C: Emerging Technologies</w:t>
      </w:r>
      <w:r>
        <w:t xml:space="preserve"> </w:t>
      </w:r>
      <w:r>
        <w:rPr>
          <w:bCs/>
          <w:b/>
        </w:rPr>
        <w:t xml:space="preserve">68</w:t>
      </w:r>
      <w:r>
        <w:t xml:space="preserve">, 285–299 (2016).</w:t>
      </w:r>
    </w:p>
    <w:bookmarkEnd w:id="42"/>
    <w:bookmarkStart w:id="44" w:name="ref-belik2011"/>
    <w:p>
      <w:pPr>
        <w:pStyle w:val="Bibliography"/>
      </w:pPr>
      <w:r>
        <w:t xml:space="preserve">3.</w:t>
      </w:r>
      <w:r>
        <w:t xml:space="preserve"> </w:t>
      </w:r>
      <w:r>
        <w:t xml:space="preserve">	</w:t>
      </w:r>
      <w:r>
        <w:t xml:space="preserve">Belik, V., Geisel, T. &amp; Brockmann, D.</w:t>
      </w:r>
      <w:r>
        <w:t xml:space="preserve"> </w:t>
      </w:r>
      <w:hyperlink r:id="rId43">
        <w:r>
          <w:rPr>
            <w:rStyle w:val="Hyperlink"/>
          </w:rPr>
          <w:t xml:space="preserve">Natural Human Mobility Patterns and Spatial Spread of Infectious Diseases</w:t>
        </w:r>
      </w:hyperlink>
      <w:r>
        <w:t xml:space="preserve">.</w:t>
      </w:r>
      <w:r>
        <w:t xml:space="preserve"> </w:t>
      </w:r>
      <w:r>
        <w:rPr>
          <w:iCs/>
          <w:i/>
        </w:rPr>
        <w:t xml:space="preserve">Physical Review X</w:t>
      </w:r>
      <w:r>
        <w:t xml:space="preserve"> </w:t>
      </w:r>
      <w:r>
        <w:rPr>
          <w:bCs/>
          <w:b/>
        </w:rPr>
        <w:t xml:space="preserve">1</w:t>
      </w:r>
      <w:r>
        <w:t xml:space="preserve">, (2011).</w:t>
      </w:r>
    </w:p>
    <w:bookmarkEnd w:id="44"/>
    <w:bookmarkStart w:id="45" w:name="ref-klugman2009human"/>
    <w:p>
      <w:pPr>
        <w:pStyle w:val="Bibliography"/>
      </w:pPr>
      <w:r>
        <w:t xml:space="preserve">4.</w:t>
      </w:r>
      <w:r>
        <w:t xml:space="preserve"> </w:t>
      </w:r>
      <w:r>
        <w:t xml:space="preserve">	</w:t>
      </w:r>
      <w:r>
        <w:t xml:space="preserve">Klugman, J. Human development report 2009. Overcoming barriers: Human mobility and development.</w:t>
      </w:r>
      <w:r>
        <w:t xml:space="preserve"> </w:t>
      </w:r>
      <w:r>
        <w:rPr>
          <w:iCs/>
          <w:i/>
        </w:rPr>
        <w:t xml:space="preserve">Overcoming Barriers: Human Mobility and Development (October 5, 2009). UNDP-HDRO Human Development Reports</w:t>
      </w:r>
      <w:r>
        <w:t xml:space="preserve"> </w:t>
      </w:r>
      <w:r>
        <w:t xml:space="preserve">(2009).</w:t>
      </w:r>
    </w:p>
    <w:bookmarkEnd w:id="45"/>
    <w:bookmarkStart w:id="47" w:name="ref-barbosa2018"/>
    <w:p>
      <w:pPr>
        <w:pStyle w:val="Bibliography"/>
      </w:pPr>
      <w:r>
        <w:t xml:space="preserve">5.</w:t>
      </w:r>
      <w:r>
        <w:t xml:space="preserve"> </w:t>
      </w:r>
      <w:r>
        <w:t xml:space="preserve">	</w:t>
      </w:r>
      <w:r>
        <w:t xml:space="preserve">Barbosa, H.</w:t>
      </w:r>
      <w:r>
        <w:t xml:space="preserve"> </w:t>
      </w:r>
      <w:r>
        <w:rPr>
          <w:iCs/>
          <w:i/>
        </w:rPr>
        <w:t xml:space="preserve">et al.</w:t>
      </w:r>
      <w:r>
        <w:t xml:space="preserve"> </w:t>
      </w:r>
      <w:hyperlink r:id="rId46">
        <w:r>
          <w:rPr>
            <w:rStyle w:val="Hyperlink"/>
          </w:rPr>
          <w:t xml:space="preserve">Human mobility: Models and applications</w:t>
        </w:r>
      </w:hyperlink>
      <w:r>
        <w:t xml:space="preserve">.</w:t>
      </w:r>
      <w:r>
        <w:t xml:space="preserve"> </w:t>
      </w:r>
      <w:r>
        <w:rPr>
          <w:iCs/>
          <w:i/>
        </w:rPr>
        <w:t xml:space="preserve">Physics Reports</w:t>
      </w:r>
      <w:r>
        <w:t xml:space="preserve"> </w:t>
      </w:r>
      <w:r>
        <w:rPr>
          <w:bCs/>
          <w:b/>
        </w:rPr>
        <w:t xml:space="preserve">734</w:t>
      </w:r>
      <w:r>
        <w:t xml:space="preserve">, 1–74 (2018).</w:t>
      </w:r>
    </w:p>
    <w:bookmarkEnd w:id="47"/>
    <w:bookmarkStart w:id="49" w:name="ref-chinazzi2020"/>
    <w:p>
      <w:pPr>
        <w:pStyle w:val="Bibliography"/>
      </w:pPr>
      <w:r>
        <w:t xml:space="preserve">6.</w:t>
      </w:r>
      <w:r>
        <w:t xml:space="preserve"> </w:t>
      </w:r>
      <w:r>
        <w:t xml:space="preserve">	</w:t>
      </w:r>
      <w:r>
        <w:t xml:space="preserve">Chinazzi, M.</w:t>
      </w:r>
      <w:r>
        <w:t xml:space="preserve"> </w:t>
      </w:r>
      <w:r>
        <w:rPr>
          <w:iCs/>
          <w:i/>
        </w:rPr>
        <w:t xml:space="preserve">et al.</w:t>
      </w:r>
      <w:r>
        <w:t xml:space="preserve"> </w:t>
      </w:r>
      <w:hyperlink r:id="rId48">
        <w:r>
          <w:rPr>
            <w:rStyle w:val="Hyperlink"/>
          </w:rPr>
          <w:t xml:space="preserve">The effect of travel restrictions on the spread of the 2019 novel coronavirus (COVID-19) outbreak</w:t>
        </w:r>
      </w:hyperlink>
      <w:r>
        <w:t xml:space="preserve">.</w:t>
      </w:r>
      <w:r>
        <w:t xml:space="preserve"> </w:t>
      </w:r>
      <w:r>
        <w:rPr>
          <w:iCs/>
          <w:i/>
        </w:rPr>
        <w:t xml:space="preserve">Science</w:t>
      </w:r>
      <w:r>
        <w:t xml:space="preserve"> </w:t>
      </w:r>
      <w:r>
        <w:rPr>
          <w:bCs/>
          <w:b/>
        </w:rPr>
        <w:t xml:space="preserve">368</w:t>
      </w:r>
      <w:r>
        <w:t xml:space="preserve">, 395–400 (2020).</w:t>
      </w:r>
    </w:p>
    <w:bookmarkEnd w:id="49"/>
    <w:bookmarkStart w:id="51" w:name="ref-nouvellet2021"/>
    <w:p>
      <w:pPr>
        <w:pStyle w:val="Bibliography"/>
      </w:pPr>
      <w:r>
        <w:t xml:space="preserve">7.</w:t>
      </w:r>
      <w:r>
        <w:t xml:space="preserve"> </w:t>
      </w:r>
      <w:r>
        <w:t xml:space="preserve">	</w:t>
      </w:r>
      <w:r>
        <w:t xml:space="preserve">Nouvellet, P.</w:t>
      </w:r>
      <w:r>
        <w:t xml:space="preserve"> </w:t>
      </w:r>
      <w:r>
        <w:rPr>
          <w:iCs/>
          <w:i/>
        </w:rPr>
        <w:t xml:space="preserve">et al.</w:t>
      </w:r>
      <w:r>
        <w:t xml:space="preserve"> </w:t>
      </w:r>
      <w:hyperlink r:id="rId50">
        <w:r>
          <w:rPr>
            <w:rStyle w:val="Hyperlink"/>
          </w:rPr>
          <w:t xml:space="preserve">Reduction in mobility and COVID-19 transmission</w:t>
        </w:r>
      </w:hyperlink>
      <w:r>
        <w:t xml:space="preserve">.</w:t>
      </w:r>
      <w:r>
        <w:t xml:space="preserve"> </w:t>
      </w:r>
      <w:r>
        <w:rPr>
          <w:iCs/>
          <w:i/>
        </w:rPr>
        <w:t xml:space="preserve">Nature Communications</w:t>
      </w:r>
      <w:r>
        <w:t xml:space="preserve"> </w:t>
      </w:r>
      <w:r>
        <w:rPr>
          <w:bCs/>
          <w:b/>
        </w:rPr>
        <w:t xml:space="preserve">12</w:t>
      </w:r>
      <w:r>
        <w:t xml:space="preserve">, (2021).</w:t>
      </w:r>
    </w:p>
    <w:bookmarkEnd w:id="51"/>
    <w:bookmarkStart w:id="53" w:name="ref-rowe2023"/>
    <w:p>
      <w:pPr>
        <w:pStyle w:val="Bibliography"/>
      </w:pPr>
      <w:r>
        <w:t xml:space="preserve">8.</w:t>
      </w:r>
      <w:r>
        <w:t xml:space="preserve"> </w:t>
      </w:r>
      <w:r>
        <w:t xml:space="preserve">	</w:t>
      </w:r>
      <w:r>
        <w:t xml:space="preserve">Rowe, F., González-Leonardo, M. &amp; Champion, T. Virtual special issue: Internal migration in times of COVID</w:t>
      </w:r>
      <w:r>
        <w:t xml:space="preserve">-</w:t>
      </w:r>
      <w:r>
        <w:t xml:space="preserve">19.</w:t>
      </w:r>
      <w:r>
        <w:t xml:space="preserve"> </w:t>
      </w:r>
      <w:r>
        <w:rPr>
          <w:iCs/>
          <w:i/>
        </w:rPr>
        <w:t xml:space="preserve">Population, Space and Place</w:t>
      </w:r>
      <w:r>
        <w:t xml:space="preserve"> </w:t>
      </w:r>
      <w:r>
        <w:t xml:space="preserve">(2023) doi:</w:t>
      </w:r>
      <w:hyperlink r:id="rId52">
        <w:r>
          <w:rPr>
            <w:rStyle w:val="Hyperlink"/>
          </w:rPr>
          <w:t xml:space="preserve">10.1002/psp.2652</w:t>
        </w:r>
      </w:hyperlink>
      <w:r>
        <w:t xml:space="preserve">.</w:t>
      </w:r>
    </w:p>
    <w:bookmarkEnd w:id="53"/>
    <w:bookmarkStart w:id="55" w:name="ref-abdullah2020"/>
    <w:p>
      <w:pPr>
        <w:pStyle w:val="Bibliography"/>
      </w:pPr>
      <w:r>
        <w:t xml:space="preserve">9.</w:t>
      </w:r>
      <w:r>
        <w:t xml:space="preserve"> </w:t>
      </w:r>
      <w:r>
        <w:t xml:space="preserve">	</w:t>
      </w:r>
      <w:r>
        <w:t xml:space="preserve">Abdullah, M., Dias, C., Muley, D. &amp; Shahin, Md.</w:t>
      </w:r>
      <w:r>
        <w:t xml:space="preserve"> </w:t>
      </w:r>
      <w:hyperlink r:id="rId54">
        <w:r>
          <w:rPr>
            <w:rStyle w:val="Hyperlink"/>
          </w:rPr>
          <w:t xml:space="preserve">Exploring the impacts of COVID-19 on travel behavior and mode preferences</w:t>
        </w:r>
      </w:hyperlink>
      <w:r>
        <w:t xml:space="preserve">.</w:t>
      </w:r>
      <w:r>
        <w:t xml:space="preserve"> </w:t>
      </w:r>
      <w:r>
        <w:rPr>
          <w:iCs/>
          <w:i/>
        </w:rPr>
        <w:t xml:space="preserve">Transportation Research Interdisciplinary Perspectives</w:t>
      </w:r>
      <w:r>
        <w:t xml:space="preserve"> </w:t>
      </w:r>
      <w:r>
        <w:rPr>
          <w:bCs/>
          <w:b/>
        </w:rPr>
        <w:t xml:space="preserve">8</w:t>
      </w:r>
      <w:r>
        <w:t xml:space="preserve">, 100255 (2020).</w:t>
      </w:r>
    </w:p>
    <w:bookmarkEnd w:id="55"/>
    <w:bookmarkStart w:id="57" w:name="ref-bonaccorsi2020"/>
    <w:p>
      <w:pPr>
        <w:pStyle w:val="Bibliography"/>
      </w:pPr>
      <w:r>
        <w:t xml:space="preserve">10.</w:t>
      </w:r>
      <w:r>
        <w:t xml:space="preserve"> </w:t>
      </w:r>
      <w:r>
        <w:t xml:space="preserve">	</w:t>
      </w:r>
      <w:r>
        <w:t xml:space="preserve">Bonaccorsi, G.</w:t>
      </w:r>
      <w:r>
        <w:t xml:space="preserve"> </w:t>
      </w:r>
      <w:r>
        <w:rPr>
          <w:iCs/>
          <w:i/>
        </w:rPr>
        <w:t xml:space="preserve">et al.</w:t>
      </w:r>
      <w:r>
        <w:t xml:space="preserve"> </w:t>
      </w:r>
      <w:hyperlink r:id="rId56">
        <w:r>
          <w:rPr>
            <w:rStyle w:val="Hyperlink"/>
          </w:rPr>
          <w:t xml:space="preserve">Economic and social consequences of human mobility restrictions under COVID-19</w:t>
        </w:r>
      </w:hyperlink>
      <w:r>
        <w:t xml:space="preserve">.</w:t>
      </w:r>
      <w:r>
        <w:t xml:space="preserve"> </w:t>
      </w:r>
      <w:r>
        <w:rPr>
          <w:iCs/>
          <w:i/>
        </w:rPr>
        <w:t xml:space="preserve">Proceedings of the National Academy of Sciences</w:t>
      </w:r>
      <w:r>
        <w:t xml:space="preserve"> </w:t>
      </w:r>
      <w:r>
        <w:rPr>
          <w:bCs/>
          <w:b/>
        </w:rPr>
        <w:t xml:space="preserve">117</w:t>
      </w:r>
      <w:r>
        <w:t xml:space="preserve">, 15530–15535 (2020).</w:t>
      </w:r>
    </w:p>
    <w:bookmarkEnd w:id="57"/>
    <w:bookmarkStart w:id="59" w:name="ref-abu-rayash2020"/>
    <w:p>
      <w:pPr>
        <w:pStyle w:val="Bibliography"/>
      </w:pPr>
      <w:r>
        <w:t xml:space="preserve">11.</w:t>
      </w:r>
      <w:r>
        <w:t xml:space="preserve"> </w:t>
      </w:r>
      <w:r>
        <w:t xml:space="preserve">	</w:t>
      </w:r>
      <w:r>
        <w:t xml:space="preserve">Abu-Rayash, A. &amp; Dincer, I.</w:t>
      </w:r>
      <w:r>
        <w:t xml:space="preserve"> </w:t>
      </w:r>
      <w:hyperlink r:id="rId58">
        <w:r>
          <w:rPr>
            <w:rStyle w:val="Hyperlink"/>
          </w:rPr>
          <w:t xml:space="preserve">Analysis of mobility trends during the COVID-19 coronavirus pandemic: Exploring the impacts on global aviation and travel in selected cities</w:t>
        </w:r>
      </w:hyperlink>
      <w:r>
        <w:t xml:space="preserve">.</w:t>
      </w:r>
      <w:r>
        <w:t xml:space="preserve"> </w:t>
      </w:r>
      <w:r>
        <w:rPr>
          <w:iCs/>
          <w:i/>
        </w:rPr>
        <w:t xml:space="preserve">Energy Research &amp; Social Science</w:t>
      </w:r>
      <w:r>
        <w:t xml:space="preserve"> </w:t>
      </w:r>
      <w:r>
        <w:rPr>
          <w:bCs/>
          <w:b/>
        </w:rPr>
        <w:t xml:space="preserve">68</w:t>
      </w:r>
      <w:r>
        <w:t xml:space="preserve">, 101693 (2020).</w:t>
      </w:r>
    </w:p>
    <w:bookmarkEnd w:id="59"/>
    <w:bookmarkStart w:id="61" w:name="ref-lee2023"/>
    <w:p>
      <w:pPr>
        <w:pStyle w:val="Bibliography"/>
      </w:pPr>
      <w:r>
        <w:t xml:space="preserve">12.</w:t>
      </w:r>
      <w:r>
        <w:t xml:space="preserve"> </w:t>
      </w:r>
      <w:r>
        <w:t xml:space="preserve">	</w:t>
      </w:r>
      <w:r>
        <w:t xml:space="preserve">Lee, S., Ko, E., Jang, K. &amp; Kim, S.</w:t>
      </w:r>
      <w:r>
        <w:t xml:space="preserve"> </w:t>
      </w:r>
      <w:hyperlink r:id="rId60">
        <w:r>
          <w:rPr>
            <w:rStyle w:val="Hyperlink"/>
          </w:rPr>
          <w:t xml:space="preserve">Understanding individual-level travel behavior changes due to COVID-19: Trip frequency, trip regularity, and trip distance</w:t>
        </w:r>
      </w:hyperlink>
      <w:r>
        <w:t xml:space="preserve">.</w:t>
      </w:r>
      <w:r>
        <w:t xml:space="preserve"> </w:t>
      </w:r>
      <w:r>
        <w:rPr>
          <w:iCs/>
          <w:i/>
        </w:rPr>
        <w:t xml:space="preserve">Cities</w:t>
      </w:r>
      <w:r>
        <w:t xml:space="preserve"> </w:t>
      </w:r>
      <w:r>
        <w:rPr>
          <w:bCs/>
          <w:b/>
        </w:rPr>
        <w:t xml:space="preserve">135</w:t>
      </w:r>
      <w:r>
        <w:t xml:space="preserve">, 104223 (2023).</w:t>
      </w:r>
    </w:p>
    <w:bookmarkEnd w:id="61"/>
    <w:bookmarkStart w:id="63" w:name="ref-borkowski2021"/>
    <w:p>
      <w:pPr>
        <w:pStyle w:val="Bibliography"/>
      </w:pPr>
      <w:r>
        <w:t xml:space="preserve">13.</w:t>
      </w:r>
      <w:r>
        <w:t xml:space="preserve"> </w:t>
      </w:r>
      <w:r>
        <w:t xml:space="preserve">	</w:t>
      </w:r>
      <w:r>
        <w:t xml:space="preserve">Borkowski, P., Jażdżewska-Gutta, M. &amp; Szmelter-Jarosz, A.</w:t>
      </w:r>
      <w:r>
        <w:t xml:space="preserve"> </w:t>
      </w:r>
      <w:hyperlink r:id="rId62">
        <w:r>
          <w:rPr>
            <w:rStyle w:val="Hyperlink"/>
          </w:rPr>
          <w:t xml:space="preserve">Lockdowned: Everyday mobility changes in response to COVID-19</w:t>
        </w:r>
      </w:hyperlink>
      <w:r>
        <w:t xml:space="preserve">.</w:t>
      </w:r>
      <w:r>
        <w:t xml:space="preserve"> </w:t>
      </w:r>
      <w:r>
        <w:rPr>
          <w:iCs/>
          <w:i/>
        </w:rPr>
        <w:t xml:space="preserve">Journal of Transport Geography</w:t>
      </w:r>
      <w:r>
        <w:t xml:space="preserve"> </w:t>
      </w:r>
      <w:r>
        <w:rPr>
          <w:bCs/>
          <w:b/>
        </w:rPr>
        <w:t xml:space="preserve">90</w:t>
      </w:r>
      <w:r>
        <w:t xml:space="preserve">, 102906 (2021).</w:t>
      </w:r>
    </w:p>
    <w:bookmarkEnd w:id="63"/>
    <w:bookmarkStart w:id="65" w:name="ref-chang2020"/>
    <w:p>
      <w:pPr>
        <w:pStyle w:val="Bibliography"/>
      </w:pPr>
      <w:r>
        <w:t xml:space="preserve">14.</w:t>
      </w:r>
      <w:r>
        <w:t xml:space="preserve"> </w:t>
      </w:r>
      <w:r>
        <w:t xml:space="preserve">	</w:t>
      </w:r>
      <w:r>
        <w:t xml:space="preserve">Chang, S.</w:t>
      </w:r>
      <w:r>
        <w:t xml:space="preserve"> </w:t>
      </w:r>
      <w:r>
        <w:rPr>
          <w:iCs/>
          <w:i/>
        </w:rPr>
        <w:t xml:space="preserve">et al.</w:t>
      </w:r>
      <w:r>
        <w:t xml:space="preserve"> </w:t>
      </w:r>
      <w:hyperlink r:id="rId64">
        <w:r>
          <w:rPr>
            <w:rStyle w:val="Hyperlink"/>
          </w:rPr>
          <w:t xml:space="preserve">Mobility network models of COVID-19 explain inequities and inform reopening</w:t>
        </w:r>
      </w:hyperlink>
      <w:r>
        <w:t xml:space="preserve">.</w:t>
      </w:r>
      <w:r>
        <w:t xml:space="preserve"> </w:t>
      </w:r>
      <w:r>
        <w:rPr>
          <w:iCs/>
          <w:i/>
        </w:rPr>
        <w:t xml:space="preserve">Nature</w:t>
      </w:r>
      <w:r>
        <w:t xml:space="preserve"> </w:t>
      </w:r>
      <w:r>
        <w:rPr>
          <w:bCs/>
          <w:b/>
        </w:rPr>
        <w:t xml:space="preserve">589</w:t>
      </w:r>
      <w:r>
        <w:t xml:space="preserve">, 82–87 (2020).</w:t>
      </w:r>
    </w:p>
    <w:bookmarkEnd w:id="65"/>
    <w:bookmarkStart w:id="67" w:name="ref-fraiberger2020"/>
    <w:p>
      <w:pPr>
        <w:pStyle w:val="Bibliography"/>
      </w:pPr>
      <w:r>
        <w:t xml:space="preserve">15.</w:t>
      </w:r>
      <w:r>
        <w:t xml:space="preserve"> </w:t>
      </w:r>
      <w:r>
        <w:t xml:space="preserve">	</w:t>
      </w:r>
      <w:r>
        <w:t xml:space="preserve">Fraiberger, S. P.</w:t>
      </w:r>
      <w:r>
        <w:t xml:space="preserve"> </w:t>
      </w:r>
      <w:r>
        <w:rPr>
          <w:iCs/>
          <w:i/>
        </w:rPr>
        <w:t xml:space="preserve">et al.</w:t>
      </w:r>
      <w:r>
        <w:t xml:space="preserve"> Uncovering socioeconomic gaps in mobility reduction during the COVID-19 pandemic using location data. (2020) doi:</w:t>
      </w:r>
      <w:hyperlink r:id="rId66">
        <w:r>
          <w:rPr>
            <w:rStyle w:val="Hyperlink"/>
          </w:rPr>
          <w:t xml:space="preserve">10.48550/ARXIV.2006.15195</w:t>
        </w:r>
      </w:hyperlink>
      <w:r>
        <w:t xml:space="preserve">.</w:t>
      </w:r>
    </w:p>
    <w:bookmarkEnd w:id="67"/>
    <w:bookmarkStart w:id="69" w:name="ref-weill2020"/>
    <w:p>
      <w:pPr>
        <w:pStyle w:val="Bibliography"/>
      </w:pPr>
      <w:r>
        <w:t xml:space="preserve">16.</w:t>
      </w:r>
      <w:r>
        <w:t xml:space="preserve"> </w:t>
      </w:r>
      <w:r>
        <w:t xml:space="preserve">	</w:t>
      </w:r>
      <w:r>
        <w:t xml:space="preserve">Weill, J. A., Stigler, M., Deschenes, O. &amp; Springborn, M. R.</w:t>
      </w:r>
      <w:r>
        <w:t xml:space="preserve"> </w:t>
      </w:r>
      <w:hyperlink r:id="rId68">
        <w:r>
          <w:rPr>
            <w:rStyle w:val="Hyperlink"/>
          </w:rPr>
          <w:t xml:space="preserve">Social distancing responses to COVID-19 emergency declarations strongly differentiated by income</w:t>
        </w:r>
      </w:hyperlink>
      <w:r>
        <w:t xml:space="preserve">.</w:t>
      </w:r>
      <w:r>
        <w:t xml:space="preserve"> </w:t>
      </w:r>
      <w:r>
        <w:rPr>
          <w:iCs/>
          <w:i/>
        </w:rPr>
        <w:t xml:space="preserve">Proceedings of the National Academy of Sciences</w:t>
      </w:r>
      <w:r>
        <w:t xml:space="preserve"> </w:t>
      </w:r>
      <w:r>
        <w:rPr>
          <w:bCs/>
          <w:b/>
        </w:rPr>
        <w:t xml:space="preserve">117</w:t>
      </w:r>
      <w:r>
        <w:t xml:space="preserve">, 19658–19660 (2020).</w:t>
      </w:r>
    </w:p>
    <w:bookmarkEnd w:id="69"/>
    <w:bookmarkStart w:id="71" w:name="ref-dueñas2021"/>
    <w:p>
      <w:pPr>
        <w:pStyle w:val="Bibliography"/>
      </w:pPr>
      <w:r>
        <w:t xml:space="preserve">17.</w:t>
      </w:r>
      <w:r>
        <w:t xml:space="preserve"> </w:t>
      </w:r>
      <w:r>
        <w:t xml:space="preserve">	</w:t>
      </w:r>
      <w:r>
        <w:t xml:space="preserve">Dueñas, M., Campi, M. &amp; Olmos, L. E.</w:t>
      </w:r>
      <w:r>
        <w:t xml:space="preserve"> </w:t>
      </w:r>
      <w:hyperlink r:id="rId70">
        <w:r>
          <w:rPr>
            <w:rStyle w:val="Hyperlink"/>
          </w:rPr>
          <w:t xml:space="preserve">Changes in mobility and socioeconomic conditions during the COVID-19 outbreak</w:t>
        </w:r>
      </w:hyperlink>
      <w:r>
        <w:t xml:space="preserve">.</w:t>
      </w:r>
      <w:r>
        <w:t xml:space="preserve"> </w:t>
      </w:r>
      <w:r>
        <w:rPr>
          <w:iCs/>
          <w:i/>
        </w:rPr>
        <w:t xml:space="preserve">Humanities and Social Sciences Communications</w:t>
      </w:r>
      <w:r>
        <w:t xml:space="preserve"> </w:t>
      </w:r>
      <w:r>
        <w:rPr>
          <w:bCs/>
          <w:b/>
        </w:rPr>
        <w:t xml:space="preserve">8</w:t>
      </w:r>
      <w:r>
        <w:t xml:space="preserve">, (2021).</w:t>
      </w:r>
    </w:p>
    <w:bookmarkEnd w:id="71"/>
    <w:bookmarkStart w:id="73" w:name="ref-santana2023"/>
    <w:p>
      <w:pPr>
        <w:pStyle w:val="Bibliography"/>
      </w:pPr>
      <w:r>
        <w:t xml:space="preserve">18.</w:t>
      </w:r>
      <w:r>
        <w:t xml:space="preserve"> </w:t>
      </w:r>
      <w:r>
        <w:t xml:space="preserve">	</w:t>
      </w:r>
      <w:r>
        <w:t xml:space="preserve">Santana, C.</w:t>
      </w:r>
      <w:r>
        <w:t xml:space="preserve"> </w:t>
      </w:r>
      <w:r>
        <w:rPr>
          <w:iCs/>
          <w:i/>
        </w:rPr>
        <w:t xml:space="preserve">et al.</w:t>
      </w:r>
      <w:r>
        <w:t xml:space="preserve"> COVID-19 is linked to changes in the time</w:t>
      </w:r>
      <w:r>
        <w:t xml:space="preserve">space dimension of human mobility.</w:t>
      </w:r>
      <w:r>
        <w:t xml:space="preserve"> </w:t>
      </w:r>
      <w:r>
        <w:rPr>
          <w:iCs/>
          <w:i/>
        </w:rPr>
        <w:t xml:space="preserve">Nature Human Behaviour</w:t>
      </w:r>
      <w:r>
        <w:t xml:space="preserve"> </w:t>
      </w:r>
      <w:r>
        <w:t xml:space="preserve">(2023) doi:</w:t>
      </w:r>
      <w:hyperlink r:id="rId72">
        <w:r>
          <w:rPr>
            <w:rStyle w:val="Hyperlink"/>
          </w:rPr>
          <w:t xml:space="preserve">10.1038/s41562-023-01660-3</w:t>
        </w:r>
      </w:hyperlink>
      <w:r>
        <w:t xml:space="preserve">.</w:t>
      </w:r>
    </w:p>
    <w:bookmarkEnd w:id="73"/>
    <w:bookmarkStart w:id="75" w:name="ref-florida2021"/>
    <w:p>
      <w:pPr>
        <w:pStyle w:val="Bibliography"/>
      </w:pPr>
      <w:r>
        <w:t xml:space="preserve">19.</w:t>
      </w:r>
      <w:r>
        <w:t xml:space="preserve"> </w:t>
      </w:r>
      <w:r>
        <w:t xml:space="preserve">	</w:t>
      </w:r>
      <w:r>
        <w:t xml:space="preserve">Florida, R., Rodríguez-Pose, A. &amp; Storper, M.</w:t>
      </w:r>
      <w:r>
        <w:t xml:space="preserve"> </w:t>
      </w:r>
      <w:hyperlink r:id="rId74">
        <w:r>
          <w:rPr>
            <w:rStyle w:val="Hyperlink"/>
          </w:rPr>
          <w:t xml:space="preserve">Critical Commentary: Cities in a post-COVID world</w:t>
        </w:r>
      </w:hyperlink>
      <w:r>
        <w:t xml:space="preserve">.</w:t>
      </w:r>
      <w:r>
        <w:t xml:space="preserve"> </w:t>
      </w:r>
      <w:r>
        <w:rPr>
          <w:iCs/>
          <w:i/>
        </w:rPr>
        <w:t xml:space="preserve">Urban Studies</w:t>
      </w:r>
      <w:r>
        <w:t xml:space="preserve"> </w:t>
      </w:r>
      <w:r>
        <w:rPr>
          <w:bCs/>
          <w:b/>
        </w:rPr>
        <w:t xml:space="preserve">60</w:t>
      </w:r>
      <w:r>
        <w:t xml:space="preserve">, 1509–1531 (2021).</w:t>
      </w:r>
    </w:p>
    <w:bookmarkEnd w:id="75"/>
    <w:bookmarkStart w:id="77" w:name="ref-rowe2023a"/>
    <w:p>
      <w:pPr>
        <w:pStyle w:val="Bibliography"/>
      </w:pPr>
      <w:r>
        <w:t xml:space="preserve">20.</w:t>
      </w:r>
      <w:r>
        <w:t xml:space="preserve"> </w:t>
      </w:r>
      <w:r>
        <w:t xml:space="preserve">	</w:t>
      </w:r>
      <w:r>
        <w:t xml:space="preserve">Rowe, F., Cabrera-Arnau, C., González-Leonardo, M., Nasuto, A. &amp; Neville, R. Reduced mobility? Urban exodus? Medium-term impacts of the COVID-19 pandemic on internal population movements in latin american countries. (2023) doi:</w:t>
      </w:r>
      <w:hyperlink r:id="rId76">
        <w:r>
          <w:rPr>
            <w:rStyle w:val="Hyperlink"/>
          </w:rPr>
          <w:t xml:space="preserve">10.48550/ARXIV.2311.01464</w:t>
        </w:r>
      </w:hyperlink>
      <w:r>
        <w:t xml:space="preserve">.</w:t>
      </w:r>
    </w:p>
    <w:bookmarkEnd w:id="77"/>
    <w:bookmarkStart w:id="80" w:name="ref-barrero2021"/>
    <w:p>
      <w:pPr>
        <w:pStyle w:val="Bibliography"/>
      </w:pPr>
      <w:r>
        <w:t xml:space="preserve">21.</w:t>
      </w:r>
      <w:r>
        <w:t xml:space="preserve"> </w:t>
      </w:r>
      <w:r>
        <w:t xml:space="preserve">	</w:t>
      </w:r>
      <w:r>
        <w:t xml:space="preserve">Barrero, J. M., Bloom, N. &amp; Davis, S.</w:t>
      </w:r>
      <w:r>
        <w:t xml:space="preserve"> </w:t>
      </w:r>
      <w:r>
        <w:rPr>
          <w:iCs/>
          <w:i/>
        </w:rPr>
        <w:t xml:space="preserve">Why working from home will stick</w:t>
      </w:r>
      <w:r>
        <w:t xml:space="preserve">.</w:t>
      </w:r>
      <w:r>
        <w:t xml:space="preserve"> </w:t>
      </w:r>
      <w:hyperlink r:id="rId78">
        <w:r>
          <w:rPr>
            <w:rStyle w:val="Hyperlink"/>
          </w:rPr>
          <w:t xml:space="preserve">http://dx.doi.org/10.3386/w28731</w:t>
        </w:r>
      </w:hyperlink>
      <w:r>
        <w:t xml:space="preserve"> </w:t>
      </w:r>
      <w:r>
        <w:t xml:space="preserve">(2021) doi:</w:t>
      </w:r>
      <w:hyperlink r:id="rId79">
        <w:r>
          <w:rPr>
            <w:rStyle w:val="Hyperlink"/>
          </w:rPr>
          <w:t xml:space="preserve">10.3386/w28731</w:t>
        </w:r>
      </w:hyperlink>
      <w:r>
        <w:t xml:space="preserve">.</w:t>
      </w:r>
    </w:p>
    <w:bookmarkEnd w:id="80"/>
    <w:bookmarkStart w:id="83" w:name="ref-aksoy2022"/>
    <w:p>
      <w:pPr>
        <w:pStyle w:val="Bibliography"/>
      </w:pPr>
      <w:r>
        <w:t xml:space="preserve">22.</w:t>
      </w:r>
      <w:r>
        <w:t xml:space="preserve"> </w:t>
      </w:r>
      <w:r>
        <w:t xml:space="preserve">	</w:t>
      </w:r>
      <w:r>
        <w:t xml:space="preserve">Aksoy, C. G.</w:t>
      </w:r>
      <w:r>
        <w:t xml:space="preserve"> </w:t>
      </w:r>
      <w:r>
        <w:rPr>
          <w:iCs/>
          <w:i/>
        </w:rPr>
        <w:t xml:space="preserve">et al.</w:t>
      </w:r>
      <w:r>
        <w:t xml:space="preserve"> </w:t>
      </w:r>
      <w:r>
        <w:rPr>
          <w:iCs/>
          <w:i/>
        </w:rPr>
        <w:t xml:space="preserve">Working from home around the world</w:t>
      </w:r>
      <w:r>
        <w:t xml:space="preserve">.</w:t>
      </w:r>
      <w:r>
        <w:t xml:space="preserve"> </w:t>
      </w:r>
      <w:hyperlink r:id="rId81">
        <w:r>
          <w:rPr>
            <w:rStyle w:val="Hyperlink"/>
          </w:rPr>
          <w:t xml:space="preserve">http://dx.doi.org/10.3386/w30446</w:t>
        </w:r>
      </w:hyperlink>
      <w:r>
        <w:t xml:space="preserve"> </w:t>
      </w:r>
      <w:r>
        <w:t xml:space="preserve">(2022) doi:</w:t>
      </w:r>
      <w:hyperlink r:id="rId82">
        <w:r>
          <w:rPr>
            <w:rStyle w:val="Hyperlink"/>
          </w:rPr>
          <w:t xml:space="preserve">10.3386/w30446</w:t>
        </w:r>
      </w:hyperlink>
      <w:r>
        <w:t xml:space="preserve">.</w:t>
      </w:r>
    </w:p>
    <w:bookmarkEnd w:id="83"/>
    <w:bookmarkStart w:id="85" w:name="ref-green2021"/>
    <w:p>
      <w:pPr>
        <w:pStyle w:val="Bibliography"/>
      </w:pPr>
      <w:r>
        <w:t xml:space="preserve">23.</w:t>
      </w:r>
      <w:r>
        <w:t xml:space="preserve"> </w:t>
      </w:r>
      <w:r>
        <w:t xml:space="preserve">	</w:t>
      </w:r>
      <w:r>
        <w:t xml:space="preserve">Green, M., Pollock, F. D. &amp; Rowe, F. New forms of data and new forms of opportunities to monitor and tackle a pandemic. in 423–429 (Springer International Publishing, 2021). doi:</w:t>
      </w:r>
      <w:hyperlink r:id="rId84">
        <w:r>
          <w:rPr>
            <w:rStyle w:val="Hyperlink"/>
          </w:rPr>
          <w:t xml:space="preserve">10.1007/978-3-030-70179-6_56</w:t>
        </w:r>
      </w:hyperlink>
      <w:r>
        <w:t xml:space="preserve">.</w:t>
      </w:r>
    </w:p>
    <w:bookmarkEnd w:id="85"/>
    <w:bookmarkStart w:id="87" w:name="ref-bell2014"/>
    <w:p>
      <w:pPr>
        <w:pStyle w:val="Bibliography"/>
      </w:pPr>
      <w:r>
        <w:t xml:space="preserve">24.</w:t>
      </w:r>
      <w:r>
        <w:t xml:space="preserve"> </w:t>
      </w:r>
      <w:r>
        <w:t xml:space="preserve">	</w:t>
      </w:r>
      <w:r>
        <w:t xml:space="preserve">Bell, M.</w:t>
      </w:r>
      <w:r>
        <w:t xml:space="preserve"> </w:t>
      </w:r>
      <w:r>
        <w:rPr>
          <w:iCs/>
          <w:i/>
        </w:rPr>
        <w:t xml:space="preserve">et al.</w:t>
      </w:r>
      <w:r>
        <w:t xml:space="preserve"> </w:t>
      </w:r>
      <w:hyperlink r:id="rId86">
        <w:r>
          <w:rPr>
            <w:rStyle w:val="Hyperlink"/>
          </w:rPr>
          <w:t xml:space="preserve">Internal Migration Data Around the World: Assessing Contemporary Practice</w:t>
        </w:r>
      </w:hyperlink>
      <w:r>
        <w:t xml:space="preserve">.</w:t>
      </w:r>
      <w:r>
        <w:t xml:space="preserve"> </w:t>
      </w:r>
      <w:r>
        <w:rPr>
          <w:iCs/>
          <w:i/>
        </w:rPr>
        <w:t xml:space="preserve">Population, Space and Place</w:t>
      </w:r>
      <w:r>
        <w:t xml:space="preserve"> </w:t>
      </w:r>
      <w:r>
        <w:rPr>
          <w:bCs/>
          <w:b/>
        </w:rPr>
        <w:t xml:space="preserve">21</w:t>
      </w:r>
      <w:r>
        <w:t xml:space="preserve">, 1–17 (2014).</w:t>
      </w:r>
    </w:p>
    <w:bookmarkEnd w:id="87"/>
    <w:bookmarkStart w:id="88" w:name="ref-rowe2023big"/>
    <w:p>
      <w:pPr>
        <w:pStyle w:val="Bibliography"/>
      </w:pPr>
      <w:r>
        <w:t xml:space="preserve">25.</w:t>
      </w:r>
      <w:r>
        <w:t xml:space="preserve"> </w:t>
      </w:r>
      <w:r>
        <w:t xml:space="preserve">	</w:t>
      </w:r>
      <w:r>
        <w:t xml:space="preserve">Rowe, F. Big data. in</w:t>
      </w:r>
      <w:r>
        <w:t xml:space="preserve"> </w:t>
      </w:r>
      <w:r>
        <w:rPr>
          <w:iCs/>
          <w:i/>
        </w:rPr>
        <w:t xml:space="preserve">Concise encyclopedia of human geography</w:t>
      </w:r>
      <w:r>
        <w:t xml:space="preserve"> </w:t>
      </w:r>
      <w:r>
        <w:t xml:space="preserve">42–47 (Edward Elgar Publishing, 2023).</w:t>
      </w:r>
    </w:p>
    <w:bookmarkEnd w:id="88"/>
    <w:bookmarkStart w:id="90" w:name="ref-calafiore2023"/>
    <w:p>
      <w:pPr>
        <w:pStyle w:val="Bibliography"/>
      </w:pPr>
      <w:r>
        <w:t xml:space="preserve">26.</w:t>
      </w:r>
      <w:r>
        <w:t xml:space="preserve"> </w:t>
      </w:r>
      <w:r>
        <w:t xml:space="preserve">	</w:t>
      </w:r>
      <w:r>
        <w:t xml:space="preserve">Calafiore, A., Samardzhiev, K., Rowe, F., Fleischmann, M. &amp; Arribas-Bel, D. Inequalities in experiencing urban functions. An exploration of human digital (geo-)footprints.</w:t>
      </w:r>
      <w:r>
        <w:t xml:space="preserve"> </w:t>
      </w:r>
      <w:r>
        <w:rPr>
          <w:iCs/>
          <w:i/>
        </w:rPr>
        <w:t xml:space="preserve">Environment and Planning B: Urban Analytics and City Science</w:t>
      </w:r>
      <w:r>
        <w:t xml:space="preserve"> </w:t>
      </w:r>
      <w:r>
        <w:t xml:space="preserve">(2023) doi:</w:t>
      </w:r>
      <w:hyperlink r:id="rId89">
        <w:r>
          <w:rPr>
            <w:rStyle w:val="Hyperlink"/>
          </w:rPr>
          <w:t xml:space="preserve">10.1177/23998083231208507</w:t>
        </w:r>
      </w:hyperlink>
      <w:r>
        <w:t xml:space="preserve">.</w:t>
      </w:r>
    </w:p>
    <w:bookmarkEnd w:id="90"/>
    <w:bookmarkStart w:id="92" w:name="ref-prophet17"/>
    <w:p>
      <w:pPr>
        <w:pStyle w:val="Bibliography"/>
      </w:pPr>
      <w:r>
        <w:t xml:space="preserve">27.</w:t>
      </w:r>
      <w:r>
        <w:t xml:space="preserve"> </w:t>
      </w:r>
      <w:r>
        <w:t xml:space="preserve">	</w:t>
      </w:r>
      <w:r>
        <w:t xml:space="preserve">Taylor, S. J. &amp; Letham, B.</w:t>
      </w:r>
      <w:r>
        <w:t xml:space="preserve"> </w:t>
      </w:r>
      <w:hyperlink r:id="rId91">
        <w:r>
          <w:rPr>
            <w:rStyle w:val="Hyperlink"/>
          </w:rPr>
          <w:t xml:space="preserve">Forecasting at scale</w:t>
        </w:r>
      </w:hyperlink>
      <w:r>
        <w:t xml:space="preserve">.</w:t>
      </w:r>
      <w:r>
        <w:t xml:space="preserve"> </w:t>
      </w:r>
      <w:r>
        <w:rPr>
          <w:iCs/>
          <w:i/>
        </w:rPr>
        <w:t xml:space="preserve">PeerJ Preprints</w:t>
      </w:r>
      <w:r>
        <w:t xml:space="preserve"> </w:t>
      </w:r>
      <w:r>
        <w:rPr>
          <w:bCs/>
          <w:b/>
        </w:rPr>
        <w:t xml:space="preserve">5</w:t>
      </w:r>
      <w:r>
        <w:t xml:space="preserve">, e3190v2 (2017).</w:t>
      </w:r>
    </w:p>
    <w:bookmarkEnd w:id="92"/>
    <w:bookmarkStart w:id="93" w:name="ref-GHSL19"/>
    <w:p>
      <w:pPr>
        <w:pStyle w:val="Bibliography"/>
      </w:pPr>
      <w:r>
        <w:t xml:space="preserve">28.</w:t>
      </w:r>
      <w:r>
        <w:t xml:space="preserve"> </w:t>
      </w:r>
      <w:r>
        <w:t xml:space="preserve">	</w:t>
      </w:r>
      <w:r>
        <w:t xml:space="preserve">Schiavina M., M. L., Moreno-Monroy A. GHS-FUA R2019A - GHS functional urban areas, derived from GHS-UCDB R2019A, (2015), R2019A. (2019).</w:t>
      </w:r>
    </w:p>
    <w:bookmarkEnd w:id="93"/>
    <w:bookmarkStart w:id="95" w:name="ref-RDI2022"/>
    <w:p>
      <w:pPr>
        <w:pStyle w:val="Bibliography"/>
      </w:pPr>
      <w:r>
        <w:t xml:space="preserve">29.</w:t>
      </w:r>
      <w:r>
        <w:t xml:space="preserve"> </w:t>
      </w:r>
      <w:r>
        <w:t xml:space="preserve">	</w:t>
      </w:r>
      <w:r>
        <w:t xml:space="preserve">Columbia University, C. for I. E. S. I. Network. C. Global gridded relative deprivation index (GRDI), version 1. (2022) doi:</w:t>
      </w:r>
      <w:hyperlink r:id="rId94">
        <w:r>
          <w:rPr>
            <w:rStyle w:val="Hyperlink"/>
          </w:rPr>
          <w:t xml:space="preserve">10.7927/3xxe-ap97</w:t>
        </w:r>
      </w:hyperlink>
      <w:r>
        <w:t xml:space="preserve">.</w:t>
      </w:r>
    </w:p>
    <w:bookmarkEnd w:id="95"/>
    <w:bookmarkStart w:id="97" w:name="ref-roweCalafiore2022"/>
    <w:p>
      <w:pPr>
        <w:pStyle w:val="Bibliography"/>
      </w:pPr>
      <w:r>
        <w:t xml:space="preserve">30.</w:t>
      </w:r>
      <w:r>
        <w:t xml:space="preserve"> </w:t>
      </w:r>
      <w:r>
        <w:t xml:space="preserve">	</w:t>
      </w:r>
      <w:r>
        <w:t xml:space="preserve">Rowe, F., Calafiore, A., Arribas-Bel, D., Samardzhiev, K. &amp; Fleischmann, M. Urban exodus? Understanding human mobility in britain during the COVID-19 pandemic using facebook data. (2022) doi:</w:t>
      </w:r>
      <w:hyperlink r:id="rId96">
        <w:r>
          <w:rPr>
            <w:rStyle w:val="Hyperlink"/>
          </w:rPr>
          <w:t xml:space="preserve">10.48550/ARXIV.2206.03272</w:t>
        </w:r>
      </w:hyperlink>
      <w:r>
        <w:t xml:space="preserve">.</w:t>
      </w:r>
    </w:p>
    <w:bookmarkEnd w:id="97"/>
    <w:bookmarkStart w:id="99" w:name="ref-wang2022"/>
    <w:p>
      <w:pPr>
        <w:pStyle w:val="Bibliography"/>
      </w:pPr>
      <w:r>
        <w:t xml:space="preserve">31.</w:t>
      </w:r>
      <w:r>
        <w:t xml:space="preserve"> </w:t>
      </w:r>
      <w:r>
        <w:t xml:space="preserve">	</w:t>
      </w:r>
      <w:r>
        <w:t xml:space="preserve">Wang, Y., Zhong, C., Gao, Q. &amp; Cabrera-Arnau, C.</w:t>
      </w:r>
      <w:r>
        <w:t xml:space="preserve"> </w:t>
      </w:r>
      <w:hyperlink r:id="rId98">
        <w:r>
          <w:rPr>
            <w:rStyle w:val="Hyperlink"/>
          </w:rPr>
          <w:t xml:space="preserve">Understanding internal migration in the UK before and during the COVID-19 pandemic using twitter data</w:t>
        </w:r>
      </w:hyperlink>
      <w:r>
        <w:t xml:space="preserve">.</w:t>
      </w:r>
      <w:r>
        <w:t xml:space="preserve"> </w:t>
      </w:r>
      <w:r>
        <w:rPr>
          <w:iCs/>
          <w:i/>
        </w:rPr>
        <w:t xml:space="preserve">Urban Informatics</w:t>
      </w:r>
      <w:r>
        <w:t xml:space="preserve"> </w:t>
      </w:r>
      <w:r>
        <w:rPr>
          <w:bCs/>
          <w:b/>
        </w:rPr>
        <w:t xml:space="preserve">1</w:t>
      </w:r>
      <w:r>
        <w:t xml:space="preserve">, (2022).</w:t>
      </w:r>
    </w:p>
    <w:bookmarkEnd w:id="99"/>
    <w:bookmarkStart w:id="100" w:name="ref-de2004inequality"/>
    <w:p>
      <w:pPr>
        <w:pStyle w:val="Bibliography"/>
      </w:pPr>
      <w:r>
        <w:t xml:space="preserve">32.</w:t>
      </w:r>
      <w:r>
        <w:t xml:space="preserve"> </w:t>
      </w:r>
      <w:r>
        <w:t xml:space="preserve">	</w:t>
      </w:r>
      <w:r>
        <w:t xml:space="preserve">De Ferranti, D. M.</w:t>
      </w:r>
      <w:r>
        <w:t xml:space="preserve"> </w:t>
      </w:r>
      <w:r>
        <w:rPr>
          <w:iCs/>
          <w:i/>
        </w:rPr>
        <w:t xml:space="preserve">Inequality in latin america: Breaking with history?</w:t>
      </w:r>
      <w:r>
        <w:t xml:space="preserve"> (World Bank publications, 2004).</w:t>
      </w:r>
    </w:p>
    <w:bookmarkEnd w:id="100"/>
    <w:bookmarkStart w:id="101" w:name="ref-carranza2023wealth"/>
    <w:p>
      <w:pPr>
        <w:pStyle w:val="Bibliography"/>
      </w:pPr>
      <w:r>
        <w:t xml:space="preserve">33.</w:t>
      </w:r>
      <w:r>
        <w:t xml:space="preserve"> </w:t>
      </w:r>
      <w:r>
        <w:t xml:space="preserve">	</w:t>
      </w:r>
      <w:r>
        <w:t xml:space="preserve">Carranza, R., De Rosa, M. &amp; Flores, I. Wealth inequality in latin america. (2023).</w:t>
      </w:r>
    </w:p>
    <w:bookmarkEnd w:id="101"/>
    <w:bookmarkStart w:id="102" w:name="ref-united2023world"/>
    <w:p>
      <w:pPr>
        <w:pStyle w:val="Bibliography"/>
      </w:pPr>
      <w:r>
        <w:t xml:space="preserve">34.</w:t>
      </w:r>
      <w:r>
        <w:t xml:space="preserve"> </w:t>
      </w:r>
      <w:r>
        <w:t xml:space="preserve">	</w:t>
      </w:r>
      <w:r>
        <w:t xml:space="preserve">United Nations, D. for E. &amp; Affairs., S.</w:t>
      </w:r>
      <w:r>
        <w:t xml:space="preserve"> </w:t>
      </w:r>
      <w:r>
        <w:rPr>
          <w:iCs/>
          <w:i/>
        </w:rPr>
        <w:t xml:space="preserve">World population prospects 2022: Summary of results</w:t>
      </w:r>
      <w:r>
        <w:t xml:space="preserve">. (UN, 2023).</w:t>
      </w:r>
    </w:p>
    <w:bookmarkEnd w:id="102"/>
    <w:bookmarkStart w:id="103" w:name="ref-milanovic2016global"/>
    <w:p>
      <w:pPr>
        <w:pStyle w:val="Bibliography"/>
      </w:pPr>
      <w:r>
        <w:t xml:space="preserve">35.</w:t>
      </w:r>
      <w:r>
        <w:t xml:space="preserve"> </w:t>
      </w:r>
      <w:r>
        <w:t xml:space="preserve">	</w:t>
      </w:r>
      <w:r>
        <w:t xml:space="preserve">Milanovic, B.</w:t>
      </w:r>
      <w:r>
        <w:t xml:space="preserve"> </w:t>
      </w:r>
      <w:r>
        <w:rPr>
          <w:iCs/>
          <w:i/>
        </w:rPr>
        <w:t xml:space="preserve">Global inequality: A new approach for the age of globalization</w:t>
      </w:r>
      <w:r>
        <w:t xml:space="preserve">. (Harvard University Press, 2016).</w:t>
      </w:r>
    </w:p>
    <w:bookmarkEnd w:id="103"/>
    <w:bookmarkStart w:id="104" w:name="ref-habitat2022world"/>
    <w:p>
      <w:pPr>
        <w:pStyle w:val="Bibliography"/>
      </w:pPr>
      <w:r>
        <w:t xml:space="preserve">36.</w:t>
      </w:r>
      <w:r>
        <w:t xml:space="preserve"> </w:t>
      </w:r>
      <w:r>
        <w:t xml:space="preserve">	</w:t>
      </w:r>
      <w:r>
        <w:t xml:space="preserve">Habitat, U. World cities report 2022: Envisaging the future of cities.</w:t>
      </w:r>
      <w:r>
        <w:t xml:space="preserve"> </w:t>
      </w:r>
      <w:r>
        <w:rPr>
          <w:iCs/>
          <w:i/>
        </w:rPr>
        <w:t xml:space="preserve">United Nations Human Settlements Programme: Nairobi, Kenya</w:t>
      </w:r>
      <w:r>
        <w:t xml:space="preserve"> </w:t>
      </w:r>
      <w:r>
        <w:t xml:space="preserve">41–44 (2022).</w:t>
      </w:r>
    </w:p>
    <w:bookmarkEnd w:id="104"/>
    <w:bookmarkStart w:id="105" w:name="ref-GADM24"/>
    <w:p>
      <w:pPr>
        <w:pStyle w:val="Bibliography"/>
      </w:pPr>
      <w:r>
        <w:t xml:space="preserve">37.</w:t>
      </w:r>
      <w:r>
        <w:t xml:space="preserve"> </w:t>
      </w:r>
      <w:r>
        <w:t xml:space="preserve">	</w:t>
      </w:r>
      <w:r>
        <w:t xml:space="preserve">GADM. GADM maps and data. (2024).</w:t>
      </w:r>
    </w:p>
    <w:bookmarkEnd w:id="105"/>
    <w:bookmarkStart w:id="106" w:name="ref-owen1992migration"/>
    <w:p>
      <w:pPr>
        <w:pStyle w:val="Bibliography"/>
      </w:pPr>
      <w:r>
        <w:t xml:space="preserve">38.</w:t>
      </w:r>
      <w:r>
        <w:t xml:space="preserve"> </w:t>
      </w:r>
      <w:r>
        <w:t xml:space="preserve">	</w:t>
      </w:r>
      <w:r>
        <w:t xml:space="preserve">Owen, D. &amp; Green, A. Migration patterns and trends. in</w:t>
      </w:r>
      <w:r>
        <w:t xml:space="preserve"> </w:t>
      </w:r>
      <w:r>
        <w:rPr>
          <w:iCs/>
          <w:i/>
        </w:rPr>
        <w:t xml:space="preserve">Migration processes and patterns: Research progress and prospects</w:t>
      </w:r>
      <w:r>
        <w:t xml:space="preserve"> </w:t>
      </w:r>
      <w:r>
        <w:t xml:space="preserve">(eds. Champion, T. &amp; Fielding, T.) (Belhaven Press, 1992).</w:t>
      </w:r>
    </w:p>
    <w:bookmarkEnd w:id="106"/>
    <w:bookmarkStart w:id="108" w:name="ref-LaurenAlexander15"/>
    <w:p>
      <w:pPr>
        <w:pStyle w:val="Bibliography"/>
      </w:pPr>
      <w:r>
        <w:t xml:space="preserve">39.</w:t>
      </w:r>
      <w:r>
        <w:t xml:space="preserve"> </w:t>
      </w:r>
      <w:r>
        <w:t xml:space="preserve">	</w:t>
      </w:r>
      <w:r>
        <w:t xml:space="preserve">Alexander, L., Jiang, S., Murga, M. &amp; González, M. C.</w:t>
      </w:r>
      <w:r>
        <w:t xml:space="preserve"> </w:t>
      </w:r>
      <w:hyperlink r:id="rId107">
        <w:r>
          <w:rPr>
            <w:rStyle w:val="Hyperlink"/>
          </w:rPr>
          <w:t xml:space="preserve">Origin–destination trips by purpose and time of day inferred from mobile phone data</w:t>
        </w:r>
      </w:hyperlink>
      <w:r>
        <w:t xml:space="preserve">.</w:t>
      </w:r>
      <w:r>
        <w:t xml:space="preserve"> </w:t>
      </w:r>
      <w:r>
        <w:rPr>
          <w:iCs/>
          <w:i/>
        </w:rPr>
        <w:t xml:space="preserve">Transportation Research Part C: Emerging Technologies</w:t>
      </w:r>
      <w:r>
        <w:t xml:space="preserve"> </w:t>
      </w:r>
      <w:r>
        <w:rPr>
          <w:bCs/>
          <w:b/>
        </w:rPr>
        <w:t xml:space="preserve">58</w:t>
      </w:r>
      <w:r>
        <w:t xml:space="preserve">, 240–250 (2015).</w:t>
      </w:r>
    </w:p>
    <w:bookmarkEnd w:id="108"/>
    <w:bookmarkStart w:id="110" w:name="ref-MengChuishi17"/>
    <w:p>
      <w:pPr>
        <w:pStyle w:val="Bibliography"/>
      </w:pPr>
      <w:r>
        <w:t xml:space="preserve">40.</w:t>
      </w:r>
      <w:r>
        <w:t xml:space="preserve"> </w:t>
      </w:r>
      <w:r>
        <w:t xml:space="preserve">	</w:t>
      </w:r>
      <w:r>
        <w:t xml:space="preserve">Meng, C., Cui, Y., He, Q., Su, L. &amp; Gao, J. Travel purpose inference with GPS trajectories, POIs, and geo-tagged social media data. in</w:t>
      </w:r>
      <w:r>
        <w:t xml:space="preserve"> </w:t>
      </w:r>
      <w:r>
        <w:rPr>
          <w:iCs/>
          <w:i/>
        </w:rPr>
        <w:t xml:space="preserve">2017 IEEE international conference on big data (big data)</w:t>
      </w:r>
      <w:r>
        <w:t xml:space="preserve"> </w:t>
      </w:r>
      <w:r>
        <w:t xml:space="preserve">1319–1324 (2017). doi:</w:t>
      </w:r>
      <w:hyperlink r:id="rId109">
        <w:r>
          <w:rPr>
            <w:rStyle w:val="Hyperlink"/>
          </w:rPr>
          <w:t xml:space="preserve">10.1109/BigData.2017.8258062</w:t>
        </w:r>
      </w:hyperlink>
      <w:r>
        <w:t xml:space="preserve">.</w:t>
      </w:r>
    </w:p>
    <w:bookmarkEnd w:id="110"/>
    <w:bookmarkStart w:id="112" w:name="ref-NiluferSariAslam21"/>
    <w:p>
      <w:pPr>
        <w:pStyle w:val="Bibliography"/>
      </w:pPr>
      <w:r>
        <w:t xml:space="preserve">41.</w:t>
      </w:r>
      <w:r>
        <w:t xml:space="preserve"> </w:t>
      </w:r>
      <w:r>
        <w:t xml:space="preserve">	</w:t>
      </w:r>
      <w:r>
        <w:t xml:space="preserve">Nilufer Sari Aslam, T. C., Mohamed R. Ibrahim &amp; Zhang, Y.</w:t>
      </w:r>
      <w:r>
        <w:t xml:space="preserve"> </w:t>
      </w:r>
      <w:hyperlink r:id="rId111">
        <w:r>
          <w:rPr>
            <w:rStyle w:val="Hyperlink"/>
          </w:rPr>
          <w:t xml:space="preserve">ActivityNET: Neural networks to predict public transport trip purposes from individual smart card data and POIs</w:t>
        </w:r>
      </w:hyperlink>
      <w:r>
        <w:t xml:space="preserve">.</w:t>
      </w:r>
      <w:r>
        <w:t xml:space="preserve"> </w:t>
      </w:r>
      <w:r>
        <w:rPr>
          <w:iCs/>
          <w:i/>
        </w:rPr>
        <w:t xml:space="preserve">Geo-spatial Information Science</w:t>
      </w:r>
      <w:r>
        <w:t xml:space="preserve"> </w:t>
      </w:r>
      <w:r>
        <w:rPr>
          <w:bCs/>
          <w:b/>
        </w:rPr>
        <w:t xml:space="preserve">24</w:t>
      </w:r>
      <w:r>
        <w:t xml:space="preserve">, 711–721 (2021).</w:t>
      </w:r>
    </w:p>
    <w:bookmarkEnd w:id="112"/>
    <w:bookmarkStart w:id="114" w:name="ref-Cabrera-Arnau2023"/>
    <w:p>
      <w:pPr>
        <w:pStyle w:val="Bibliography"/>
      </w:pPr>
      <w:r>
        <w:t xml:space="preserve">42.</w:t>
      </w:r>
      <w:r>
        <w:t xml:space="preserve"> </w:t>
      </w:r>
      <w:r>
        <w:t xml:space="preserve">	</w:t>
      </w:r>
      <w:r>
        <w:t xml:space="preserve">Cabrera-Arnau, C., Zhong, C., Batty, M., Silva, R. &amp; Kang, S. M.</w:t>
      </w:r>
      <w:r>
        <w:t xml:space="preserve"> </w:t>
      </w:r>
      <w:hyperlink r:id="rId113">
        <w:r>
          <w:rPr>
            <w:rStyle w:val="Hyperlink"/>
          </w:rPr>
          <w:t xml:space="preserve">Inferring urban polycentricity from the variability in human mobility patterns</w:t>
        </w:r>
      </w:hyperlink>
      <w:r>
        <w:t xml:space="preserve">.</w:t>
      </w:r>
      <w:r>
        <w:t xml:space="preserve"> </w:t>
      </w:r>
      <w:r>
        <w:rPr>
          <w:iCs/>
          <w:i/>
        </w:rPr>
        <w:t xml:space="preserve">Scientific Reports</w:t>
      </w:r>
      <w:r>
        <w:t xml:space="preserve"> </w:t>
      </w:r>
      <w:r>
        <w:rPr>
          <w:bCs/>
          <w:b/>
        </w:rPr>
        <w:t xml:space="preserve">13</w:t>
      </w:r>
      <w:r>
        <w:t xml:space="preserve">, 5751 (2023).</w:t>
      </w:r>
    </w:p>
    <w:bookmarkEnd w:id="114"/>
    <w:bookmarkStart w:id="116" w:name="ref-RoweBigData23"/>
    <w:p>
      <w:pPr>
        <w:pStyle w:val="Bibliography"/>
      </w:pPr>
      <w:r>
        <w:t xml:space="preserve">43.</w:t>
      </w:r>
      <w:r>
        <w:t xml:space="preserve"> </w:t>
      </w:r>
      <w:r>
        <w:t xml:space="preserve">	</w:t>
      </w:r>
      <w:r>
        <w:t xml:space="preserve">Rowe, F. 9.: Big data. in</w:t>
      </w:r>
      <w:r>
        <w:t xml:space="preserve"> </w:t>
      </w:r>
      <w:r>
        <w:rPr>
          <w:iCs/>
          <w:i/>
        </w:rPr>
        <w:t xml:space="preserve">Concise encyclopedia of human geography</w:t>
      </w:r>
      <w:r>
        <w:t xml:space="preserve"> </w:t>
      </w:r>
      <w:r>
        <w:t xml:space="preserve">42–47 (Edward Elgar Publishing, 2023). doi:</w:t>
      </w:r>
      <w:hyperlink r:id="rId115">
        <w:r>
          <w:rPr>
            <w:rStyle w:val="Hyperlink"/>
          </w:rPr>
          <w:t xml:space="preserve">10.4337/9781800883499.ch09</w:t>
        </w:r>
      </w:hyperlink>
      <w:r>
        <w:t xml:space="preserve">.</w:t>
      </w:r>
    </w:p>
    <w:bookmarkEnd w:id="116"/>
    <w:bookmarkStart w:id="118" w:name="ref-ECJRC22"/>
    <w:p>
      <w:pPr>
        <w:pStyle w:val="Bibliography"/>
      </w:pPr>
      <w:r>
        <w:t xml:space="preserve">44.</w:t>
      </w:r>
      <w:r>
        <w:t xml:space="preserve"> </w:t>
      </w:r>
      <w:r>
        <w:t xml:space="preserve">	</w:t>
      </w:r>
      <w:r>
        <w:t xml:space="preserve">Commission, E.</w:t>
      </w:r>
      <w:r>
        <w:t xml:space="preserve"> </w:t>
      </w:r>
      <w:r>
        <w:rPr>
          <w:iCs/>
          <w:i/>
        </w:rPr>
        <w:t xml:space="preserve">et al.</w:t>
      </w:r>
      <w:r>
        <w:t xml:space="preserve"> </w:t>
      </w:r>
      <w:r>
        <w:rPr>
          <w:iCs/>
          <w:i/>
        </w:rPr>
        <w:t xml:space="preserve">Data innovation in demography, migration and human mobility</w:t>
      </w:r>
      <w:r>
        <w:t xml:space="preserve">. (Publications Office of the European Union, 2022). doi:</w:t>
      </w:r>
      <w:hyperlink r:id="rId117">
        <w:r>
          <w:rPr>
            <w:rStyle w:val="Hyperlink"/>
          </w:rPr>
          <w:t xml:space="preserve">doi/10.2760/027157</w:t>
        </w:r>
      </w:hyperlink>
      <w:r>
        <w:t xml:space="preserve">.</w:t>
      </w:r>
    </w:p>
    <w:bookmarkEnd w:id="118"/>
    <w:bookmarkStart w:id="119" w:name="ref-UNSD"/>
    <w:p>
      <w:pPr>
        <w:pStyle w:val="Bibliography"/>
      </w:pPr>
      <w:r>
        <w:t xml:space="preserve">45.</w:t>
      </w:r>
      <w:r>
        <w:t xml:space="preserve"> </w:t>
      </w:r>
      <w:r>
        <w:t xml:space="preserve">	</w:t>
      </w:r>
      <w:r>
        <w:t xml:space="preserve">Division, U. N. S. Handbook on the use of mobile phone data for official statistics. (2019).</w:t>
      </w:r>
    </w:p>
    <w:bookmarkEnd w:id="119"/>
    <w:bookmarkStart w:id="120" w:name="ref-Maas19"/>
    <w:p>
      <w:pPr>
        <w:pStyle w:val="Bibliography"/>
      </w:pPr>
      <w:r>
        <w:t xml:space="preserve">46.</w:t>
      </w:r>
      <w:r>
        <w:t xml:space="preserve"> </w:t>
      </w:r>
      <w:r>
        <w:t xml:space="preserve">	</w:t>
      </w:r>
      <w:r>
        <w:t xml:space="preserve">Maas, P.</w:t>
      </w:r>
      <w:r>
        <w:t xml:space="preserve"> </w:t>
      </w:r>
      <w:r>
        <w:rPr>
          <w:iCs/>
          <w:i/>
        </w:rPr>
        <w:t xml:space="preserve">et al.</w:t>
      </w:r>
      <w:r>
        <w:t xml:space="preserve"> Facebook disaster maps: Aggregate insights for crisis response and recovery. in</w:t>
      </w:r>
      <w:r>
        <w:t xml:space="preserve"> </w:t>
      </w:r>
      <w:r>
        <w:rPr>
          <w:iCs/>
          <w:i/>
        </w:rPr>
        <w:t xml:space="preserve">16th international conference on information systems for crisis response and management</w:t>
      </w:r>
      <w:r>
        <w:t xml:space="preserve"> </w:t>
      </w:r>
      <w:r>
        <w:t xml:space="preserve">836–847 (2019).</w:t>
      </w:r>
    </w:p>
    <w:bookmarkEnd w:id="120"/>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df" /><Relationship Type="http://schemas.openxmlformats.org/officeDocument/2006/relationships/image" Id="rId24" Target="media/rId24.pdf" /><Relationship Type="http://schemas.openxmlformats.org/officeDocument/2006/relationships/image" Id="rId28" Target="media/rId28.pdf" /><Relationship Type="http://schemas.openxmlformats.org/officeDocument/2006/relationships/hyperlink" Id="rId78" Target="http://dx.doi.org/10.3386/w28731" TargetMode="External" /><Relationship Type="http://schemas.openxmlformats.org/officeDocument/2006/relationships/hyperlink" Id="rId81" Target="http://dx.doi.org/10.3386/w30446" TargetMode="External" /><Relationship Type="http://schemas.openxmlformats.org/officeDocument/2006/relationships/hyperlink" Id="rId34" Target="https://dataforgood.facebook.com" TargetMode="External" /><Relationship Type="http://schemas.openxmlformats.org/officeDocument/2006/relationships/hyperlink" Id="rId86" Target="https://doi.org/10.1002/psp.1848" TargetMode="External" /><Relationship Type="http://schemas.openxmlformats.org/officeDocument/2006/relationships/hyperlink" Id="rId52" Target="https://doi.org/10.1002/psp.2652" TargetMode="External" /><Relationship Type="http://schemas.openxmlformats.org/officeDocument/2006/relationships/hyperlink" Id="rId84" Target="https://doi.org/10.1007/978-3-030-70179-6_56" TargetMode="External" /><Relationship Type="http://schemas.openxmlformats.org/officeDocument/2006/relationships/hyperlink" Id="rId98" Target="https://doi.org/10.1007/s44212-022-00018-w" TargetMode="External" /><Relationship Type="http://schemas.openxmlformats.org/officeDocument/2006/relationships/hyperlink" Id="rId60" Target="https://doi.org/10.1016/j.cities.2023.104223" TargetMode="External" /><Relationship Type="http://schemas.openxmlformats.org/officeDocument/2006/relationships/hyperlink" Id="rId58" Target="https://doi.org/10.1016/j.erss.2020.101693" TargetMode="External" /><Relationship Type="http://schemas.openxmlformats.org/officeDocument/2006/relationships/hyperlink" Id="rId62" Target="https://doi.org/10.1016/j.jtrangeo.2020.102906" TargetMode="External" /><Relationship Type="http://schemas.openxmlformats.org/officeDocument/2006/relationships/hyperlink" Id="rId46" Target="https://doi.org/10.1016/j.physrep.2018.01.001" TargetMode="External" /><Relationship Type="http://schemas.openxmlformats.org/officeDocument/2006/relationships/hyperlink" Id="rId107" Target="https://doi.org/10.1016/j.trc.2015.02.018" TargetMode="External" /><Relationship Type="http://schemas.openxmlformats.org/officeDocument/2006/relationships/hyperlink" Id="rId41" Target="https://doi.org/10.1016/j.trc.2016.04.005" TargetMode="External" /><Relationship Type="http://schemas.openxmlformats.org/officeDocument/2006/relationships/hyperlink" Id="rId54" Target="https://doi.org/10.1016/j.trip.2020.100255" TargetMode="External" /><Relationship Type="http://schemas.openxmlformats.org/officeDocument/2006/relationships/hyperlink" Id="rId50" Target="https://doi.org/10.1038/s41467-021-21358-2" TargetMode="External" /><Relationship Type="http://schemas.openxmlformats.org/officeDocument/2006/relationships/hyperlink" Id="rId72" Target="https://doi.org/10.1038/s41562-023-01660-3" TargetMode="External" /><Relationship Type="http://schemas.openxmlformats.org/officeDocument/2006/relationships/hyperlink" Id="rId64" Target="https://doi.org/10.1038/s41586-020-2923-3" TargetMode="External" /><Relationship Type="http://schemas.openxmlformats.org/officeDocument/2006/relationships/hyperlink" Id="rId113" Target="https://doi.org/10.1038/s41598-023-33003-7" TargetMode="External" /><Relationship Type="http://schemas.openxmlformats.org/officeDocument/2006/relationships/hyperlink" Id="rId70" Target="https://doi.org/10.1057/s41599-021-00775-0" TargetMode="External" /><Relationship Type="http://schemas.openxmlformats.org/officeDocument/2006/relationships/hyperlink" Id="rId56" Target="https://doi.org/10.1073/pnas.2007658117" TargetMode="External" /><Relationship Type="http://schemas.openxmlformats.org/officeDocument/2006/relationships/hyperlink" Id="rId68" Target="https://doi.org/10.1073/pnas.2009412117" TargetMode="External" /><Relationship Type="http://schemas.openxmlformats.org/officeDocument/2006/relationships/hyperlink" Id="rId111" Target="https://doi.org/10.1080/10095020.2021.1985943" TargetMode="External" /><Relationship Type="http://schemas.openxmlformats.org/officeDocument/2006/relationships/hyperlink" Id="rId43" Target="https://doi.org/10.1103/physrevx.1.011001" TargetMode="External" /><Relationship Type="http://schemas.openxmlformats.org/officeDocument/2006/relationships/hyperlink" Id="rId109" Target="https://doi.org/10.1109/BigData.2017.8258062" TargetMode="External" /><Relationship Type="http://schemas.openxmlformats.org/officeDocument/2006/relationships/hyperlink" Id="rId39" Target="https://doi.org/10.1111/j.1468-2435.2005.00343.x" TargetMode="External" /><Relationship Type="http://schemas.openxmlformats.org/officeDocument/2006/relationships/hyperlink" Id="rId48" Target="https://doi.org/10.1126/science.aba9757" TargetMode="External" /><Relationship Type="http://schemas.openxmlformats.org/officeDocument/2006/relationships/hyperlink" Id="rId74" Target="https://doi.org/10.1177/00420980211018072" TargetMode="External" /><Relationship Type="http://schemas.openxmlformats.org/officeDocument/2006/relationships/hyperlink" Id="rId89" Target="https://doi.org/10.1177/23998083231208507" TargetMode="External" /><Relationship Type="http://schemas.openxmlformats.org/officeDocument/2006/relationships/hyperlink" Id="rId79" Target="https://doi.org/10.3386/w28731" TargetMode="External" /><Relationship Type="http://schemas.openxmlformats.org/officeDocument/2006/relationships/hyperlink" Id="rId82" Target="https://doi.org/10.3386/w30446" TargetMode="External" /><Relationship Type="http://schemas.openxmlformats.org/officeDocument/2006/relationships/hyperlink" Id="rId115" Target="https://doi.org/10.4337/9781800883499.ch09" TargetMode="External" /><Relationship Type="http://schemas.openxmlformats.org/officeDocument/2006/relationships/hyperlink" Id="rId66" Target="https://doi.org/10.48550/ARXIV.2006.15195" TargetMode="External" /><Relationship Type="http://schemas.openxmlformats.org/officeDocument/2006/relationships/hyperlink" Id="rId96" Target="https://doi.org/10.48550/ARXIV.2206.03272" TargetMode="External" /><Relationship Type="http://schemas.openxmlformats.org/officeDocument/2006/relationships/hyperlink" Id="rId76" Target="https://doi.org/10.48550/ARXIV.2311.01464" TargetMode="External" /><Relationship Type="http://schemas.openxmlformats.org/officeDocument/2006/relationships/hyperlink" Id="rId91" Target="https://doi.org/10.7287/peerj.preprints.3190v2" TargetMode="External" /><Relationship Type="http://schemas.openxmlformats.org/officeDocument/2006/relationships/hyperlink" Id="rId94" Target="https://doi.org/10.7927/3xxe-ap97" TargetMode="External" /><Relationship Type="http://schemas.openxmlformats.org/officeDocument/2006/relationships/hyperlink" Id="rId117" Target="https://doi.org/doi/10.2760/027157" TargetMode="External" /></Relationships>
</file>

<file path=word/_rels/footnotes.xml.rels><?xml version="1.0" encoding="UTF-8"?><Relationships xmlns="http://schemas.openxmlformats.org/package/2006/relationships"><Relationship Type="http://schemas.openxmlformats.org/officeDocument/2006/relationships/hyperlink" Id="rId78" Target="http://dx.doi.org/10.3386/w28731" TargetMode="External" /><Relationship Type="http://schemas.openxmlformats.org/officeDocument/2006/relationships/hyperlink" Id="rId81" Target="http://dx.doi.org/10.3386/w30446" TargetMode="External" /><Relationship Type="http://schemas.openxmlformats.org/officeDocument/2006/relationships/hyperlink" Id="rId34" Target="https://dataforgood.facebook.com" TargetMode="External" /><Relationship Type="http://schemas.openxmlformats.org/officeDocument/2006/relationships/hyperlink" Id="rId86" Target="https://doi.org/10.1002/psp.1848" TargetMode="External" /><Relationship Type="http://schemas.openxmlformats.org/officeDocument/2006/relationships/hyperlink" Id="rId52" Target="https://doi.org/10.1002/psp.2652" TargetMode="External" /><Relationship Type="http://schemas.openxmlformats.org/officeDocument/2006/relationships/hyperlink" Id="rId84" Target="https://doi.org/10.1007/978-3-030-70179-6_56" TargetMode="External" /><Relationship Type="http://schemas.openxmlformats.org/officeDocument/2006/relationships/hyperlink" Id="rId98" Target="https://doi.org/10.1007/s44212-022-00018-w" TargetMode="External" /><Relationship Type="http://schemas.openxmlformats.org/officeDocument/2006/relationships/hyperlink" Id="rId60" Target="https://doi.org/10.1016/j.cities.2023.104223" TargetMode="External" /><Relationship Type="http://schemas.openxmlformats.org/officeDocument/2006/relationships/hyperlink" Id="rId58" Target="https://doi.org/10.1016/j.erss.2020.101693" TargetMode="External" /><Relationship Type="http://schemas.openxmlformats.org/officeDocument/2006/relationships/hyperlink" Id="rId62" Target="https://doi.org/10.1016/j.jtrangeo.2020.102906" TargetMode="External" /><Relationship Type="http://schemas.openxmlformats.org/officeDocument/2006/relationships/hyperlink" Id="rId46" Target="https://doi.org/10.1016/j.physrep.2018.01.001" TargetMode="External" /><Relationship Type="http://schemas.openxmlformats.org/officeDocument/2006/relationships/hyperlink" Id="rId107" Target="https://doi.org/10.1016/j.trc.2015.02.018" TargetMode="External" /><Relationship Type="http://schemas.openxmlformats.org/officeDocument/2006/relationships/hyperlink" Id="rId41" Target="https://doi.org/10.1016/j.trc.2016.04.005" TargetMode="External" /><Relationship Type="http://schemas.openxmlformats.org/officeDocument/2006/relationships/hyperlink" Id="rId54" Target="https://doi.org/10.1016/j.trip.2020.100255" TargetMode="External" /><Relationship Type="http://schemas.openxmlformats.org/officeDocument/2006/relationships/hyperlink" Id="rId50" Target="https://doi.org/10.1038/s41467-021-21358-2" TargetMode="External" /><Relationship Type="http://schemas.openxmlformats.org/officeDocument/2006/relationships/hyperlink" Id="rId72" Target="https://doi.org/10.1038/s41562-023-01660-3" TargetMode="External" /><Relationship Type="http://schemas.openxmlformats.org/officeDocument/2006/relationships/hyperlink" Id="rId64" Target="https://doi.org/10.1038/s41586-020-2923-3" TargetMode="External" /><Relationship Type="http://schemas.openxmlformats.org/officeDocument/2006/relationships/hyperlink" Id="rId113" Target="https://doi.org/10.1038/s41598-023-33003-7" TargetMode="External" /><Relationship Type="http://schemas.openxmlformats.org/officeDocument/2006/relationships/hyperlink" Id="rId70" Target="https://doi.org/10.1057/s41599-021-00775-0" TargetMode="External" /><Relationship Type="http://schemas.openxmlformats.org/officeDocument/2006/relationships/hyperlink" Id="rId56" Target="https://doi.org/10.1073/pnas.2007658117" TargetMode="External" /><Relationship Type="http://schemas.openxmlformats.org/officeDocument/2006/relationships/hyperlink" Id="rId68" Target="https://doi.org/10.1073/pnas.2009412117" TargetMode="External" /><Relationship Type="http://schemas.openxmlformats.org/officeDocument/2006/relationships/hyperlink" Id="rId111" Target="https://doi.org/10.1080/10095020.2021.1985943" TargetMode="External" /><Relationship Type="http://schemas.openxmlformats.org/officeDocument/2006/relationships/hyperlink" Id="rId43" Target="https://doi.org/10.1103/physrevx.1.011001" TargetMode="External" /><Relationship Type="http://schemas.openxmlformats.org/officeDocument/2006/relationships/hyperlink" Id="rId109" Target="https://doi.org/10.1109/BigData.2017.8258062" TargetMode="External" /><Relationship Type="http://schemas.openxmlformats.org/officeDocument/2006/relationships/hyperlink" Id="rId39" Target="https://doi.org/10.1111/j.1468-2435.2005.00343.x" TargetMode="External" /><Relationship Type="http://schemas.openxmlformats.org/officeDocument/2006/relationships/hyperlink" Id="rId48" Target="https://doi.org/10.1126/science.aba9757" TargetMode="External" /><Relationship Type="http://schemas.openxmlformats.org/officeDocument/2006/relationships/hyperlink" Id="rId74" Target="https://doi.org/10.1177/00420980211018072" TargetMode="External" /><Relationship Type="http://schemas.openxmlformats.org/officeDocument/2006/relationships/hyperlink" Id="rId89" Target="https://doi.org/10.1177/23998083231208507" TargetMode="External" /><Relationship Type="http://schemas.openxmlformats.org/officeDocument/2006/relationships/hyperlink" Id="rId79" Target="https://doi.org/10.3386/w28731" TargetMode="External" /><Relationship Type="http://schemas.openxmlformats.org/officeDocument/2006/relationships/hyperlink" Id="rId82" Target="https://doi.org/10.3386/w30446" TargetMode="External" /><Relationship Type="http://schemas.openxmlformats.org/officeDocument/2006/relationships/hyperlink" Id="rId115" Target="https://doi.org/10.4337/9781800883499.ch09" TargetMode="External" /><Relationship Type="http://schemas.openxmlformats.org/officeDocument/2006/relationships/hyperlink" Id="rId66" Target="https://doi.org/10.48550/ARXIV.2006.15195" TargetMode="External" /><Relationship Type="http://schemas.openxmlformats.org/officeDocument/2006/relationships/hyperlink" Id="rId96" Target="https://doi.org/10.48550/ARXIV.2206.03272" TargetMode="External" /><Relationship Type="http://schemas.openxmlformats.org/officeDocument/2006/relationships/hyperlink" Id="rId76" Target="https://doi.org/10.48550/ARXIV.2311.01464" TargetMode="External" /><Relationship Type="http://schemas.openxmlformats.org/officeDocument/2006/relationships/hyperlink" Id="rId91" Target="https://doi.org/10.7287/peerj.preprints.3190v2" TargetMode="External" /><Relationship Type="http://schemas.openxmlformats.org/officeDocument/2006/relationships/hyperlink" Id="rId94" Target="https://doi.org/10.7927/3xxe-ap97" TargetMode="External" /><Relationship Type="http://schemas.openxmlformats.org/officeDocument/2006/relationships/hyperlink" Id="rId117" Target="https://doi.org/doi/10.2760/02715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mobility and socioeconomic deprivation in Latin America after COVID-19</dc:title>
  <dc:creator>Carmen Cabrera-Arnau; Francisco Rowe; Miguel González-Leonardo; Andrea Nasuto; Ruth Neville</dc:creator>
  <cp:keywords/>
  <dcterms:created xsi:type="dcterms:W3CDTF">2024-02-12T16:31:01Z</dcterms:created>
  <dcterms:modified xsi:type="dcterms:W3CDTF">2024-02-12T16:31:01Z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movement of people between locations is crucial for sustainable and inclusive cities, facilitating the exchange of knowledge and resources. Due to restrictions, lockdowns and fear of crowded places, the COVID-19 pandemic significantly reduced the number and extent of people’s movements. Existing research suggests that the impact of the pandemic on mobility was unequal across locations and socioeconomic groups. However, evidence and analysis of long-term changes in mobility is scarce, especially in less developed countries. In this study, we use location data from Meta-Facebook users to analyse patterns of urban mobility in X Functional Urban Areas from South American countries. Findings reveal a general decrease in mobility during the pandemic, with gradual recovery trends up to April 2023. However, socioeconomic disparities are present through the period of analysis, with deprived areas experiencing smaller initial losses in mobility. These disparities generally diminish over time, although they persist in all the countries included in the analysis . Our research highlights the importance of timely mobility data with high spatiotemporal resolution to understand the long-term effects of the pandemic and inform equitable policy responses that address societal challenges in urban areas.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refs.bib</vt:lpwstr>
  </property>
  <property fmtid="{D5CDD505-2E9C-101B-9397-08002B2CF9AE}" pid="7" name="by-affiliation">
    <vt:lpwstr/>
  </property>
  <property fmtid="{D5CDD505-2E9C-101B-9397-08002B2CF9AE}" pid="8" name="by-author">
    <vt:lpwstr/>
  </property>
  <property fmtid="{D5CDD505-2E9C-101B-9397-08002B2CF9AE}" pid="9" name="csl">
    <vt:lpwstr>nature.csl</vt:lpwstr>
  </property>
  <property fmtid="{D5CDD505-2E9C-101B-9397-08002B2CF9AE}" pid="10" name="editor">
    <vt:lpwstr>visual</vt:lpwstr>
  </property>
  <property fmtid="{D5CDD505-2E9C-101B-9397-08002B2CF9AE}" pid="11" name="editor_options">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